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804C" w14:textId="77777777" w:rsidR="00303835" w:rsidRPr="00866C70" w:rsidRDefault="006A5409" w:rsidP="006A5409">
      <w:pPr>
        <w:jc w:val="right"/>
        <w:rPr>
          <w:rFonts w:ascii="Arial" w:hAnsi="Arial" w:cs="Arial"/>
          <w:sz w:val="24"/>
        </w:rPr>
      </w:pPr>
      <w:r w:rsidRPr="00CE0FD3">
        <w:rPr>
          <w:rFonts w:ascii="Arial" w:hAnsi="Arial" w:cs="Arial"/>
          <w:sz w:val="24"/>
        </w:rPr>
        <w:t>ADDENDUM</w:t>
      </w:r>
      <w:r w:rsidR="00303835" w:rsidRPr="00866C70">
        <w:rPr>
          <w:rFonts w:ascii="Arial" w:hAnsi="Arial" w:cs="Arial"/>
          <w:sz w:val="24"/>
        </w:rPr>
        <w:t xml:space="preserve"> </w:t>
      </w:r>
      <w:r w:rsidR="005E54B4">
        <w:rPr>
          <w:rFonts w:ascii="Arial" w:hAnsi="Arial" w:cs="Arial"/>
          <w:sz w:val="24"/>
        </w:rPr>
        <w:t>C</w:t>
      </w:r>
    </w:p>
    <w:p w14:paraId="4DA0BB0D" w14:textId="77777777" w:rsidR="00866C70" w:rsidRPr="00FE1EAB" w:rsidRDefault="00866C70" w:rsidP="00866C70">
      <w:pPr>
        <w:pStyle w:val="NoSpacing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ADDENDUM </w:t>
      </w:r>
      <w:r w:rsidR="005E54B4">
        <w:rPr>
          <w:rFonts w:ascii="Arial" w:hAnsi="Arial" w:cs="Arial"/>
          <w:b/>
          <w:i/>
          <w:sz w:val="24"/>
        </w:rPr>
        <w:t>C</w:t>
      </w:r>
    </w:p>
    <w:p w14:paraId="2A34BA97" w14:textId="77777777" w:rsidR="005E54B4" w:rsidRPr="00AE5E8D" w:rsidRDefault="005E54B4" w:rsidP="005E54B4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AE5E8D">
        <w:rPr>
          <w:rFonts w:ascii="Arial" w:hAnsi="Arial" w:cs="Arial"/>
          <w:b/>
          <w:i/>
          <w:sz w:val="24"/>
          <w:szCs w:val="24"/>
        </w:rPr>
        <w:t>Progress Report</w:t>
      </w:r>
    </w:p>
    <w:p w14:paraId="43E6F6AA" w14:textId="77777777" w:rsidR="005E54B4" w:rsidRPr="00C576F8" w:rsidRDefault="005E54B4" w:rsidP="005E54B4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Schedule </w:t>
      </w:r>
    </w:p>
    <w:tbl>
      <w:tblPr>
        <w:tblpPr w:leftFromText="180" w:rightFromText="180" w:vertAnchor="text" w:horzAnchor="margin" w:tblpXSpec="center" w:tblpY="20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250"/>
        <w:gridCol w:w="4500"/>
      </w:tblGrid>
      <w:tr w:rsidR="005E54B4" w:rsidRPr="002C580A" w14:paraId="0899F38A" w14:textId="77777777" w:rsidTr="00D56049">
        <w:tc>
          <w:tcPr>
            <w:tcW w:w="2358" w:type="dxa"/>
            <w:shd w:val="clear" w:color="auto" w:fill="DEEAF6" w:themeFill="accent1" w:themeFillTint="33"/>
            <w:vAlign w:val="center"/>
          </w:tcPr>
          <w:p w14:paraId="0E91C05C" w14:textId="77777777" w:rsidR="005E54B4" w:rsidRPr="004E4343" w:rsidRDefault="005E54B4" w:rsidP="00D56049">
            <w:pPr>
              <w:jc w:val="center"/>
              <w:rPr>
                <w:rFonts w:ascii="Arial" w:hAnsi="Arial" w:cs="Arial"/>
                <w:b/>
              </w:rPr>
            </w:pPr>
            <w:r w:rsidRPr="004E4343">
              <w:rPr>
                <w:rFonts w:ascii="Arial" w:hAnsi="Arial" w:cs="Arial"/>
                <w:b/>
              </w:rPr>
              <w:t>REPORT</w:t>
            </w:r>
            <w:r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088D52C8" w14:textId="77777777" w:rsidR="005E54B4" w:rsidRPr="004E4343" w:rsidRDefault="005E54B4" w:rsidP="00D56049">
            <w:pPr>
              <w:jc w:val="center"/>
              <w:rPr>
                <w:rFonts w:ascii="Arial" w:hAnsi="Arial" w:cs="Arial"/>
                <w:b/>
              </w:rPr>
            </w:pPr>
            <w:r w:rsidRPr="004E4343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4500" w:type="dxa"/>
            <w:shd w:val="clear" w:color="auto" w:fill="DEEAF6" w:themeFill="accent1" w:themeFillTint="33"/>
            <w:vAlign w:val="center"/>
          </w:tcPr>
          <w:p w14:paraId="30AD6F77" w14:textId="77777777" w:rsidR="005E54B4" w:rsidRPr="004E4343" w:rsidRDefault="005E54B4" w:rsidP="00D560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 ON ACTIVITIES/DELIVERABLES DURING THESE TIMEFRAMES</w:t>
            </w:r>
          </w:p>
        </w:tc>
      </w:tr>
      <w:tr w:rsidR="005E54B4" w:rsidRPr="00E83E37" w14:paraId="1E593838" w14:textId="77777777" w:rsidTr="00D56049">
        <w:tc>
          <w:tcPr>
            <w:tcW w:w="9108" w:type="dxa"/>
            <w:gridSpan w:val="3"/>
            <w:shd w:val="clear" w:color="auto" w:fill="auto"/>
            <w:vAlign w:val="center"/>
          </w:tcPr>
          <w:p w14:paraId="1520974E" w14:textId="348F48CD" w:rsidR="005E54B4" w:rsidRPr="00E83E37" w:rsidRDefault="005E54B4" w:rsidP="00D56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3E37">
              <w:rPr>
                <w:rFonts w:ascii="Arial" w:hAnsi="Arial" w:cs="Arial"/>
                <w:b/>
              </w:rPr>
              <w:t xml:space="preserve">FY </w:t>
            </w:r>
            <w:r w:rsidR="000B0CDD">
              <w:rPr>
                <w:rFonts w:ascii="Arial" w:hAnsi="Arial" w:cs="Arial"/>
                <w:b/>
              </w:rPr>
              <w:t>2023</w:t>
            </w:r>
            <w:r w:rsidR="00BC2379">
              <w:rPr>
                <w:rFonts w:ascii="Arial" w:hAnsi="Arial" w:cs="Arial"/>
                <w:b/>
              </w:rPr>
              <w:t>/24</w:t>
            </w:r>
          </w:p>
        </w:tc>
      </w:tr>
      <w:tr w:rsidR="005E54B4" w:rsidRPr="00E83E37" w14:paraId="4A2C3E0A" w14:textId="77777777" w:rsidTr="004A6B0A">
        <w:tc>
          <w:tcPr>
            <w:tcW w:w="2358" w:type="dxa"/>
            <w:shd w:val="clear" w:color="auto" w:fill="E7E6E6" w:themeFill="background2"/>
          </w:tcPr>
          <w:p w14:paraId="5FCE8E9D" w14:textId="77777777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1</w:t>
            </w:r>
            <w:r w:rsidRPr="00E83E37">
              <w:rPr>
                <w:rFonts w:ascii="Arial" w:hAnsi="Arial" w:cs="Arial"/>
                <w:vertAlign w:val="superscript"/>
              </w:rPr>
              <w:t>st</w:t>
            </w:r>
            <w:r w:rsidRPr="00E83E37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2250" w:type="dxa"/>
            <w:shd w:val="clear" w:color="auto" w:fill="E7E6E6" w:themeFill="background2"/>
          </w:tcPr>
          <w:p w14:paraId="124207D0" w14:textId="32DF3B72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January 31,</w:t>
            </w:r>
            <w:r w:rsidR="000B0CDD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4500" w:type="dxa"/>
            <w:shd w:val="clear" w:color="auto" w:fill="E7E6E6" w:themeFill="background2"/>
          </w:tcPr>
          <w:p w14:paraId="0A3263D3" w14:textId="0E430293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 xml:space="preserve">July 1, </w:t>
            </w:r>
            <w:r w:rsidR="000B0CDD">
              <w:rPr>
                <w:rFonts w:ascii="Arial" w:hAnsi="Arial" w:cs="Arial"/>
              </w:rPr>
              <w:t>2023</w:t>
            </w:r>
            <w:r w:rsidR="00E44F71">
              <w:rPr>
                <w:rFonts w:ascii="Arial" w:hAnsi="Arial" w:cs="Arial"/>
              </w:rPr>
              <w:t>–</w:t>
            </w:r>
            <w:r w:rsidRPr="00E83E37">
              <w:rPr>
                <w:rFonts w:ascii="Arial" w:hAnsi="Arial" w:cs="Arial"/>
              </w:rPr>
              <w:t xml:space="preserve"> December 31, </w:t>
            </w:r>
            <w:r w:rsidR="000B0CDD">
              <w:rPr>
                <w:rFonts w:ascii="Arial" w:hAnsi="Arial" w:cs="Arial"/>
              </w:rPr>
              <w:t>2023</w:t>
            </w:r>
          </w:p>
        </w:tc>
      </w:tr>
      <w:tr w:rsidR="005E54B4" w:rsidRPr="00E83E37" w14:paraId="778BC706" w14:textId="77777777" w:rsidTr="004A6B0A">
        <w:tc>
          <w:tcPr>
            <w:tcW w:w="2358" w:type="dxa"/>
            <w:shd w:val="clear" w:color="auto" w:fill="E7E6E6" w:themeFill="background2"/>
          </w:tcPr>
          <w:p w14:paraId="1E54DBCD" w14:textId="77777777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2</w:t>
            </w:r>
            <w:r w:rsidRPr="00E83E37">
              <w:rPr>
                <w:rFonts w:ascii="Arial" w:hAnsi="Arial" w:cs="Arial"/>
                <w:vertAlign w:val="superscript"/>
              </w:rPr>
              <w:t>nd</w:t>
            </w:r>
            <w:r w:rsidRPr="00E83E37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2250" w:type="dxa"/>
            <w:shd w:val="clear" w:color="auto" w:fill="E7E6E6" w:themeFill="background2"/>
          </w:tcPr>
          <w:p w14:paraId="38811CF7" w14:textId="1B01BAF3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July 3</w:t>
            </w:r>
            <w:r w:rsidR="0019629B">
              <w:rPr>
                <w:rFonts w:ascii="Arial" w:hAnsi="Arial" w:cs="Arial"/>
              </w:rPr>
              <w:t>1</w:t>
            </w:r>
            <w:r w:rsidRPr="00E83E37">
              <w:rPr>
                <w:rFonts w:ascii="Arial" w:hAnsi="Arial" w:cs="Arial"/>
              </w:rPr>
              <w:t xml:space="preserve">, </w:t>
            </w:r>
            <w:r w:rsidR="000B0CDD">
              <w:rPr>
                <w:rFonts w:ascii="Arial" w:hAnsi="Arial" w:cs="Arial"/>
              </w:rPr>
              <w:t>2024</w:t>
            </w:r>
          </w:p>
        </w:tc>
        <w:tc>
          <w:tcPr>
            <w:tcW w:w="4500" w:type="dxa"/>
            <w:shd w:val="clear" w:color="auto" w:fill="E7E6E6" w:themeFill="background2"/>
          </w:tcPr>
          <w:p w14:paraId="4C41133C" w14:textId="1BB820B2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 xml:space="preserve">January 1, </w:t>
            </w:r>
            <w:r w:rsidR="000B0CDD">
              <w:rPr>
                <w:rFonts w:ascii="Arial" w:hAnsi="Arial" w:cs="Arial"/>
              </w:rPr>
              <w:t>2024</w:t>
            </w:r>
            <w:r w:rsidR="000B0CDD" w:rsidRPr="00E83E37">
              <w:rPr>
                <w:rFonts w:ascii="Arial" w:hAnsi="Arial" w:cs="Arial"/>
              </w:rPr>
              <w:t xml:space="preserve"> </w:t>
            </w:r>
            <w:r w:rsidR="00E44F71">
              <w:rPr>
                <w:rFonts w:ascii="Arial" w:hAnsi="Arial" w:cs="Arial"/>
              </w:rPr>
              <w:t>–</w:t>
            </w:r>
            <w:r w:rsidRPr="00E83E37">
              <w:rPr>
                <w:rFonts w:ascii="Arial" w:hAnsi="Arial" w:cs="Arial"/>
              </w:rPr>
              <w:t xml:space="preserve"> June 3</w:t>
            </w:r>
            <w:r w:rsidR="0019629B">
              <w:rPr>
                <w:rFonts w:ascii="Arial" w:hAnsi="Arial" w:cs="Arial"/>
              </w:rPr>
              <w:t>0</w:t>
            </w:r>
            <w:r w:rsidRPr="00E83E37">
              <w:rPr>
                <w:rFonts w:ascii="Arial" w:hAnsi="Arial" w:cs="Arial"/>
              </w:rPr>
              <w:t xml:space="preserve">, </w:t>
            </w:r>
            <w:r w:rsidR="000B0CDD">
              <w:rPr>
                <w:rFonts w:ascii="Arial" w:hAnsi="Arial" w:cs="Arial"/>
              </w:rPr>
              <w:t>2024</w:t>
            </w:r>
          </w:p>
        </w:tc>
      </w:tr>
      <w:tr w:rsidR="005E54B4" w:rsidRPr="00E83E37" w14:paraId="07B6E5C3" w14:textId="77777777" w:rsidTr="0019629B">
        <w:trPr>
          <w:trHeight w:val="551"/>
        </w:trPr>
        <w:tc>
          <w:tcPr>
            <w:tcW w:w="9108" w:type="dxa"/>
            <w:gridSpan w:val="3"/>
            <w:shd w:val="clear" w:color="auto" w:fill="auto"/>
            <w:vAlign w:val="center"/>
          </w:tcPr>
          <w:p w14:paraId="485F3667" w14:textId="6EDCD205" w:rsidR="005E54B4" w:rsidRPr="00E83E37" w:rsidRDefault="005E54B4" w:rsidP="00D56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E37">
              <w:rPr>
                <w:rFonts w:ascii="Arial" w:hAnsi="Arial" w:cs="Arial"/>
                <w:b/>
              </w:rPr>
              <w:t xml:space="preserve">FY </w:t>
            </w:r>
            <w:r w:rsidR="000B0CDD">
              <w:rPr>
                <w:rFonts w:ascii="Arial" w:hAnsi="Arial" w:cs="Arial"/>
                <w:b/>
              </w:rPr>
              <w:t>2024</w:t>
            </w:r>
            <w:r w:rsidR="00BC2379">
              <w:rPr>
                <w:rFonts w:ascii="Arial" w:hAnsi="Arial" w:cs="Arial"/>
                <w:b/>
              </w:rPr>
              <w:t>/25</w:t>
            </w:r>
          </w:p>
        </w:tc>
      </w:tr>
      <w:tr w:rsidR="005E54B4" w:rsidRPr="00E83E37" w14:paraId="3861D634" w14:textId="77777777" w:rsidTr="004A6B0A">
        <w:trPr>
          <w:trHeight w:val="467"/>
        </w:trPr>
        <w:tc>
          <w:tcPr>
            <w:tcW w:w="2358" w:type="dxa"/>
            <w:shd w:val="clear" w:color="auto" w:fill="E7E6E6" w:themeFill="background2"/>
          </w:tcPr>
          <w:p w14:paraId="0E99233D" w14:textId="77777777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3</w:t>
            </w:r>
            <w:r w:rsidRPr="00E83E37">
              <w:rPr>
                <w:rFonts w:ascii="Arial" w:hAnsi="Arial" w:cs="Arial"/>
                <w:vertAlign w:val="superscript"/>
              </w:rPr>
              <w:t>rd</w:t>
            </w:r>
            <w:r w:rsidRPr="00E83E37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2250" w:type="dxa"/>
            <w:shd w:val="clear" w:color="auto" w:fill="E7E6E6" w:themeFill="background2"/>
          </w:tcPr>
          <w:p w14:paraId="23E993E2" w14:textId="78990483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 xml:space="preserve">January 31, </w:t>
            </w:r>
            <w:r w:rsidR="000B0CDD">
              <w:rPr>
                <w:rFonts w:ascii="Arial" w:hAnsi="Arial" w:cs="Arial"/>
              </w:rPr>
              <w:t>2025</w:t>
            </w:r>
          </w:p>
        </w:tc>
        <w:tc>
          <w:tcPr>
            <w:tcW w:w="4500" w:type="dxa"/>
            <w:shd w:val="clear" w:color="auto" w:fill="E7E6E6" w:themeFill="background2"/>
          </w:tcPr>
          <w:p w14:paraId="52DB0BD5" w14:textId="07B44883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 xml:space="preserve">July 1, </w:t>
            </w:r>
            <w:r w:rsidR="000B0CDD">
              <w:rPr>
                <w:rFonts w:ascii="Arial" w:hAnsi="Arial" w:cs="Arial"/>
              </w:rPr>
              <w:t>2024</w:t>
            </w:r>
            <w:r w:rsidR="000B0CDD" w:rsidRPr="00E83E37">
              <w:rPr>
                <w:rFonts w:ascii="Arial" w:hAnsi="Arial" w:cs="Arial"/>
              </w:rPr>
              <w:t xml:space="preserve"> </w:t>
            </w:r>
            <w:r w:rsidRPr="00E83E37">
              <w:rPr>
                <w:rFonts w:ascii="Arial" w:hAnsi="Arial" w:cs="Arial"/>
              </w:rPr>
              <w:t>– December 3</w:t>
            </w:r>
            <w:r w:rsidR="0019629B">
              <w:rPr>
                <w:rFonts w:ascii="Arial" w:hAnsi="Arial" w:cs="Arial"/>
              </w:rPr>
              <w:t>1</w:t>
            </w:r>
            <w:r w:rsidRPr="00E83E37">
              <w:rPr>
                <w:rFonts w:ascii="Arial" w:hAnsi="Arial" w:cs="Arial"/>
              </w:rPr>
              <w:t xml:space="preserve">, </w:t>
            </w:r>
            <w:r w:rsidR="000B0CDD">
              <w:rPr>
                <w:rFonts w:ascii="Arial" w:hAnsi="Arial" w:cs="Arial"/>
              </w:rPr>
              <w:t>2024</w:t>
            </w:r>
          </w:p>
        </w:tc>
      </w:tr>
      <w:tr w:rsidR="005E54B4" w:rsidRPr="00E83E37" w14:paraId="17E1F0FA" w14:textId="77777777" w:rsidTr="004A6B0A">
        <w:tc>
          <w:tcPr>
            <w:tcW w:w="2358" w:type="dxa"/>
            <w:shd w:val="clear" w:color="auto" w:fill="E7E6E6" w:themeFill="background2"/>
          </w:tcPr>
          <w:p w14:paraId="1C634AFB" w14:textId="77777777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4</w:t>
            </w:r>
            <w:r w:rsidRPr="00E83E37">
              <w:rPr>
                <w:rFonts w:ascii="Arial" w:hAnsi="Arial" w:cs="Arial"/>
                <w:vertAlign w:val="superscript"/>
              </w:rPr>
              <w:t>th</w:t>
            </w:r>
            <w:r w:rsidRPr="00E83E37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2250" w:type="dxa"/>
            <w:shd w:val="clear" w:color="auto" w:fill="E7E6E6" w:themeFill="background2"/>
          </w:tcPr>
          <w:p w14:paraId="28403A9A" w14:textId="2A4E816A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July 3</w:t>
            </w:r>
            <w:r w:rsidR="0019629B">
              <w:rPr>
                <w:rFonts w:ascii="Arial" w:hAnsi="Arial" w:cs="Arial"/>
              </w:rPr>
              <w:t>1</w:t>
            </w:r>
            <w:r w:rsidRPr="00E83E37">
              <w:rPr>
                <w:rFonts w:ascii="Arial" w:hAnsi="Arial" w:cs="Arial"/>
              </w:rPr>
              <w:t xml:space="preserve">, </w:t>
            </w:r>
            <w:r w:rsidR="000B0CDD">
              <w:rPr>
                <w:rFonts w:ascii="Arial" w:hAnsi="Arial" w:cs="Arial"/>
              </w:rPr>
              <w:t>2025</w:t>
            </w:r>
          </w:p>
        </w:tc>
        <w:tc>
          <w:tcPr>
            <w:tcW w:w="4500" w:type="dxa"/>
            <w:shd w:val="clear" w:color="auto" w:fill="E7E6E6" w:themeFill="background2"/>
          </w:tcPr>
          <w:p w14:paraId="4315015C" w14:textId="366C5C0F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 xml:space="preserve">January 1, </w:t>
            </w:r>
            <w:r w:rsidR="000B0CDD">
              <w:rPr>
                <w:rFonts w:ascii="Arial" w:hAnsi="Arial" w:cs="Arial"/>
              </w:rPr>
              <w:t>2025</w:t>
            </w:r>
            <w:r w:rsidR="000B0CDD" w:rsidRPr="00E83E37">
              <w:rPr>
                <w:rFonts w:ascii="Arial" w:hAnsi="Arial" w:cs="Arial"/>
              </w:rPr>
              <w:t xml:space="preserve"> </w:t>
            </w:r>
            <w:r w:rsidR="00E44F71">
              <w:rPr>
                <w:rFonts w:ascii="Arial" w:hAnsi="Arial" w:cs="Arial"/>
              </w:rPr>
              <w:t>–</w:t>
            </w:r>
            <w:r w:rsidRPr="00E83E37">
              <w:rPr>
                <w:rFonts w:ascii="Arial" w:hAnsi="Arial" w:cs="Arial"/>
              </w:rPr>
              <w:t xml:space="preserve"> June 30, </w:t>
            </w:r>
            <w:r w:rsidR="000B0CDD">
              <w:rPr>
                <w:rFonts w:ascii="Arial" w:hAnsi="Arial" w:cs="Arial"/>
              </w:rPr>
              <w:t>2025</w:t>
            </w:r>
          </w:p>
        </w:tc>
      </w:tr>
      <w:tr w:rsidR="005E54B4" w:rsidRPr="00E83E37" w14:paraId="1158D6CA" w14:textId="77777777" w:rsidTr="00D56049">
        <w:tc>
          <w:tcPr>
            <w:tcW w:w="9108" w:type="dxa"/>
            <w:gridSpan w:val="3"/>
            <w:shd w:val="clear" w:color="auto" w:fill="auto"/>
            <w:vAlign w:val="center"/>
          </w:tcPr>
          <w:p w14:paraId="51E67665" w14:textId="039F9BA4" w:rsidR="005E54B4" w:rsidRPr="00E83E37" w:rsidRDefault="005E54B4" w:rsidP="00D56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E37">
              <w:rPr>
                <w:rFonts w:ascii="Arial" w:hAnsi="Arial" w:cs="Arial"/>
                <w:b/>
              </w:rPr>
              <w:t xml:space="preserve">FY </w:t>
            </w:r>
            <w:r w:rsidR="000B0CDD">
              <w:rPr>
                <w:rFonts w:ascii="Arial" w:hAnsi="Arial" w:cs="Arial"/>
                <w:b/>
              </w:rPr>
              <w:t>2025</w:t>
            </w:r>
            <w:r w:rsidR="00BC2379">
              <w:rPr>
                <w:rFonts w:ascii="Arial" w:hAnsi="Arial" w:cs="Arial"/>
                <w:b/>
              </w:rPr>
              <w:t>/26</w:t>
            </w:r>
          </w:p>
        </w:tc>
      </w:tr>
      <w:tr w:rsidR="005E54B4" w:rsidRPr="00E83E37" w14:paraId="13615F48" w14:textId="77777777" w:rsidTr="004A6B0A">
        <w:tc>
          <w:tcPr>
            <w:tcW w:w="2358" w:type="dxa"/>
            <w:shd w:val="clear" w:color="auto" w:fill="E7E6E6" w:themeFill="background2"/>
          </w:tcPr>
          <w:p w14:paraId="1834AB8C" w14:textId="77777777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5</w:t>
            </w:r>
            <w:r w:rsidRPr="00E83E37">
              <w:rPr>
                <w:rFonts w:ascii="Arial" w:hAnsi="Arial" w:cs="Arial"/>
                <w:vertAlign w:val="superscript"/>
              </w:rPr>
              <w:t>th</w:t>
            </w:r>
            <w:r w:rsidRPr="00E83E37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2250" w:type="dxa"/>
            <w:shd w:val="clear" w:color="auto" w:fill="E7E6E6" w:themeFill="background2"/>
          </w:tcPr>
          <w:p w14:paraId="37A5DB1F" w14:textId="227D1884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 xml:space="preserve">January 31, </w:t>
            </w:r>
            <w:r w:rsidR="000B0CDD">
              <w:rPr>
                <w:rFonts w:ascii="Arial" w:hAnsi="Arial" w:cs="Arial"/>
              </w:rPr>
              <w:t>2026</w:t>
            </w:r>
          </w:p>
        </w:tc>
        <w:tc>
          <w:tcPr>
            <w:tcW w:w="4500" w:type="dxa"/>
            <w:shd w:val="clear" w:color="auto" w:fill="E7E6E6" w:themeFill="background2"/>
          </w:tcPr>
          <w:p w14:paraId="70D4161E" w14:textId="22464389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 xml:space="preserve">July 1, </w:t>
            </w:r>
            <w:r w:rsidR="000B0CDD">
              <w:rPr>
                <w:rFonts w:ascii="Arial" w:hAnsi="Arial" w:cs="Arial"/>
              </w:rPr>
              <w:t>2025</w:t>
            </w:r>
            <w:r w:rsidRPr="00E83E37">
              <w:rPr>
                <w:rFonts w:ascii="Arial" w:hAnsi="Arial" w:cs="Arial"/>
              </w:rPr>
              <w:t xml:space="preserve"> – December 31, </w:t>
            </w:r>
            <w:r w:rsidR="000B0CDD">
              <w:rPr>
                <w:rFonts w:ascii="Arial" w:hAnsi="Arial" w:cs="Arial"/>
              </w:rPr>
              <w:t>2025</w:t>
            </w:r>
          </w:p>
        </w:tc>
      </w:tr>
      <w:tr w:rsidR="005E54B4" w:rsidRPr="00E83E37" w14:paraId="01BE6259" w14:textId="77777777" w:rsidTr="004A6B0A">
        <w:tc>
          <w:tcPr>
            <w:tcW w:w="2358" w:type="dxa"/>
            <w:shd w:val="clear" w:color="auto" w:fill="E7E6E6" w:themeFill="background2"/>
          </w:tcPr>
          <w:p w14:paraId="199113AB" w14:textId="77777777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6</w:t>
            </w:r>
            <w:r w:rsidRPr="00E83E37">
              <w:rPr>
                <w:rFonts w:ascii="Arial" w:hAnsi="Arial" w:cs="Arial"/>
                <w:vertAlign w:val="superscript"/>
              </w:rPr>
              <w:t>th</w:t>
            </w:r>
            <w:r w:rsidRPr="00E83E37">
              <w:rPr>
                <w:rFonts w:ascii="Arial" w:hAnsi="Arial" w:cs="Arial"/>
              </w:rPr>
              <w:t xml:space="preserve"> Report - FINAL*</w:t>
            </w:r>
          </w:p>
        </w:tc>
        <w:tc>
          <w:tcPr>
            <w:tcW w:w="2250" w:type="dxa"/>
            <w:shd w:val="clear" w:color="auto" w:fill="E7E6E6" w:themeFill="background2"/>
          </w:tcPr>
          <w:p w14:paraId="6DAC37AC" w14:textId="20C77F59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>July 3</w:t>
            </w:r>
            <w:r w:rsidR="0019629B">
              <w:rPr>
                <w:rFonts w:ascii="Arial" w:hAnsi="Arial" w:cs="Arial"/>
              </w:rPr>
              <w:t>1</w:t>
            </w:r>
            <w:r w:rsidRPr="00E83E37">
              <w:rPr>
                <w:rFonts w:ascii="Arial" w:hAnsi="Arial" w:cs="Arial"/>
              </w:rPr>
              <w:t xml:space="preserve">, </w:t>
            </w:r>
            <w:r w:rsidR="000B0CDD">
              <w:rPr>
                <w:rFonts w:ascii="Arial" w:hAnsi="Arial" w:cs="Arial"/>
              </w:rPr>
              <w:t>2026</w:t>
            </w:r>
          </w:p>
        </w:tc>
        <w:tc>
          <w:tcPr>
            <w:tcW w:w="4500" w:type="dxa"/>
            <w:shd w:val="clear" w:color="auto" w:fill="E7E6E6" w:themeFill="background2"/>
          </w:tcPr>
          <w:p w14:paraId="02E0B64D" w14:textId="77E66152" w:rsidR="005E54B4" w:rsidRPr="00E83E37" w:rsidRDefault="005E54B4" w:rsidP="006A5409">
            <w:pPr>
              <w:jc w:val="center"/>
              <w:rPr>
                <w:rFonts w:ascii="Arial" w:hAnsi="Arial" w:cs="Arial"/>
              </w:rPr>
            </w:pPr>
            <w:r w:rsidRPr="00E83E37">
              <w:rPr>
                <w:rFonts w:ascii="Arial" w:hAnsi="Arial" w:cs="Arial"/>
              </w:rPr>
              <w:t xml:space="preserve">January 1, </w:t>
            </w:r>
            <w:r w:rsidR="000B0CDD">
              <w:rPr>
                <w:rFonts w:ascii="Arial" w:hAnsi="Arial" w:cs="Arial"/>
              </w:rPr>
              <w:t>2026</w:t>
            </w:r>
            <w:r w:rsidRPr="00E83E37">
              <w:rPr>
                <w:rFonts w:ascii="Arial" w:hAnsi="Arial" w:cs="Arial"/>
              </w:rPr>
              <w:t xml:space="preserve"> – June 30, </w:t>
            </w:r>
            <w:r w:rsidR="000B0CDD">
              <w:rPr>
                <w:rFonts w:ascii="Arial" w:hAnsi="Arial" w:cs="Arial"/>
              </w:rPr>
              <w:t>2026</w:t>
            </w:r>
          </w:p>
        </w:tc>
      </w:tr>
    </w:tbl>
    <w:p w14:paraId="7FCF908D" w14:textId="71AFF329" w:rsidR="005E54B4" w:rsidRPr="00E83E37" w:rsidRDefault="005E54B4" w:rsidP="005E54B4">
      <w:pPr>
        <w:ind w:left="1080"/>
        <w:rPr>
          <w:rFonts w:ascii="Arial" w:hAnsi="Arial" w:cs="Arial"/>
          <w:i/>
        </w:rPr>
      </w:pPr>
      <w:r w:rsidRPr="00E83E37">
        <w:rPr>
          <w:rFonts w:ascii="Arial" w:hAnsi="Arial" w:cs="Arial"/>
          <w:i/>
        </w:rPr>
        <w:t xml:space="preserve">*Project blueprint/framework must be submitted </w:t>
      </w:r>
      <w:r w:rsidR="00D046E7">
        <w:rPr>
          <w:rFonts w:ascii="Arial" w:hAnsi="Arial" w:cs="Arial"/>
          <w:i/>
        </w:rPr>
        <w:t>by December 31</w:t>
      </w:r>
      <w:r w:rsidR="00D046E7" w:rsidRPr="00BC2379">
        <w:rPr>
          <w:rFonts w:ascii="Arial" w:hAnsi="Arial" w:cs="Arial"/>
          <w:i/>
          <w:vertAlign w:val="superscript"/>
        </w:rPr>
        <w:t>st</w:t>
      </w:r>
      <w:r w:rsidR="00D046E7">
        <w:rPr>
          <w:rFonts w:ascii="Arial" w:hAnsi="Arial" w:cs="Arial"/>
          <w:i/>
        </w:rPr>
        <w:t>, 2025</w:t>
      </w:r>
      <w:r w:rsidRPr="00E83E37">
        <w:rPr>
          <w:rFonts w:ascii="Arial" w:hAnsi="Arial" w:cs="Arial"/>
          <w:i/>
        </w:rPr>
        <w:t xml:space="preserve">. </w:t>
      </w:r>
    </w:p>
    <w:p w14:paraId="58E9661B" w14:textId="77777777" w:rsidR="005E54B4" w:rsidRPr="00E83E37" w:rsidRDefault="005E54B4" w:rsidP="005E54B4">
      <w:pPr>
        <w:rPr>
          <w:rFonts w:ascii="Arial" w:hAnsi="Arial" w:cs="Arial"/>
          <w:b/>
          <w:sz w:val="28"/>
          <w:szCs w:val="28"/>
        </w:rPr>
      </w:pPr>
      <w:r w:rsidRPr="00E83E37">
        <w:rPr>
          <w:rFonts w:ascii="Arial" w:hAnsi="Arial" w:cs="Arial"/>
          <w:b/>
          <w:sz w:val="28"/>
          <w:szCs w:val="28"/>
        </w:rPr>
        <w:t>____________________________________________________________</w:t>
      </w:r>
    </w:p>
    <w:p w14:paraId="0CFEF9F2" w14:textId="40789021" w:rsidR="005E54B4" w:rsidRPr="00E83E37" w:rsidRDefault="005E54B4" w:rsidP="005E54B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E83E37">
        <w:rPr>
          <w:rFonts w:ascii="Arial" w:hAnsi="Arial" w:cs="Arial"/>
          <w:sz w:val="24"/>
          <w:szCs w:val="24"/>
        </w:rPr>
        <w:t xml:space="preserve">Baseline data, outcome measures, and evaluation data shall be submitted to DDS with progress reports.  The final </w:t>
      </w:r>
      <w:r w:rsidR="00E44F71" w:rsidRPr="00E83E37">
        <w:rPr>
          <w:rFonts w:ascii="Arial" w:hAnsi="Arial" w:cs="Arial"/>
          <w:sz w:val="24"/>
          <w:szCs w:val="24"/>
        </w:rPr>
        <w:t>progress report</w:t>
      </w:r>
      <w:r w:rsidRPr="00E83E37">
        <w:rPr>
          <w:rFonts w:ascii="Arial" w:hAnsi="Arial" w:cs="Arial"/>
          <w:sz w:val="24"/>
          <w:szCs w:val="24"/>
        </w:rPr>
        <w:t>, outcomes, accomplishments, and final project materials are due to DDS by</w:t>
      </w:r>
      <w:r w:rsidR="00F26CF0" w:rsidRPr="00E83E37">
        <w:rPr>
          <w:rFonts w:ascii="Arial" w:hAnsi="Arial" w:cs="Arial"/>
          <w:sz w:val="24"/>
          <w:szCs w:val="24"/>
        </w:rPr>
        <w:t xml:space="preserve"> </w:t>
      </w:r>
      <w:r w:rsidRPr="00E83E37">
        <w:rPr>
          <w:rFonts w:ascii="Arial" w:hAnsi="Arial" w:cs="Arial"/>
          <w:sz w:val="24"/>
          <w:szCs w:val="24"/>
        </w:rPr>
        <w:t>July 3</w:t>
      </w:r>
      <w:r w:rsidR="00BC2379">
        <w:rPr>
          <w:rFonts w:ascii="Arial" w:hAnsi="Arial" w:cs="Arial"/>
          <w:sz w:val="24"/>
          <w:szCs w:val="24"/>
        </w:rPr>
        <w:t>1</w:t>
      </w:r>
      <w:r w:rsidRPr="00E83E37">
        <w:rPr>
          <w:rFonts w:ascii="Arial" w:hAnsi="Arial" w:cs="Arial"/>
          <w:sz w:val="24"/>
          <w:szCs w:val="24"/>
        </w:rPr>
        <w:t xml:space="preserve">, </w:t>
      </w:r>
      <w:r w:rsidR="0047079F">
        <w:rPr>
          <w:rFonts w:ascii="Arial" w:hAnsi="Arial" w:cs="Arial"/>
          <w:sz w:val="24"/>
          <w:szCs w:val="24"/>
        </w:rPr>
        <w:t>2026</w:t>
      </w:r>
      <w:r w:rsidRPr="00E83E37">
        <w:rPr>
          <w:rFonts w:ascii="Arial" w:hAnsi="Arial" w:cs="Arial"/>
          <w:sz w:val="24"/>
          <w:szCs w:val="24"/>
        </w:rPr>
        <w:t xml:space="preserve">, or 30 days </w:t>
      </w:r>
      <w:r w:rsidR="00E44F71">
        <w:rPr>
          <w:rFonts w:ascii="Arial" w:hAnsi="Arial" w:cs="Arial"/>
          <w:sz w:val="24"/>
          <w:szCs w:val="24"/>
        </w:rPr>
        <w:t>from</w:t>
      </w:r>
      <w:r w:rsidR="00E44F71" w:rsidRPr="00E83E37">
        <w:rPr>
          <w:rFonts w:ascii="Arial" w:hAnsi="Arial" w:cs="Arial"/>
          <w:sz w:val="24"/>
          <w:szCs w:val="24"/>
        </w:rPr>
        <w:t xml:space="preserve"> </w:t>
      </w:r>
      <w:r w:rsidRPr="00E83E37">
        <w:rPr>
          <w:rFonts w:ascii="Arial" w:hAnsi="Arial" w:cs="Arial"/>
          <w:sz w:val="24"/>
          <w:szCs w:val="24"/>
        </w:rPr>
        <w:t>completion of the project, whichever comes first.</w:t>
      </w:r>
    </w:p>
    <w:p w14:paraId="2CC76E1D" w14:textId="77777777" w:rsidR="005E54B4" w:rsidRPr="00E83E37" w:rsidRDefault="005E54B4" w:rsidP="005E54B4">
      <w:pPr>
        <w:pStyle w:val="NoSpacing"/>
        <w:rPr>
          <w:rFonts w:ascii="Arial" w:hAnsi="Arial" w:cs="Arial"/>
          <w:sz w:val="24"/>
          <w:szCs w:val="24"/>
        </w:rPr>
      </w:pPr>
    </w:p>
    <w:p w14:paraId="79D82706" w14:textId="77777777" w:rsidR="005E54B4" w:rsidRPr="00E83E37" w:rsidRDefault="005E54B4" w:rsidP="005E54B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E83E37">
        <w:rPr>
          <w:rFonts w:ascii="Arial" w:hAnsi="Arial" w:cs="Arial"/>
          <w:sz w:val="24"/>
          <w:szCs w:val="24"/>
        </w:rPr>
        <w:t>DDS will provide RCs with the MHSA Progress Report template to be used for all MHSA projects.</w:t>
      </w:r>
    </w:p>
    <w:p w14:paraId="745DFEDF" w14:textId="77777777" w:rsidR="005E70D4" w:rsidRDefault="005E70D4" w:rsidP="005E54B4">
      <w:pPr>
        <w:pStyle w:val="NoSpacing"/>
        <w:jc w:val="center"/>
      </w:pPr>
    </w:p>
    <w:sectPr w:rsidR="005E70D4" w:rsidSect="00F26C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0E68"/>
    <w:multiLevelType w:val="hybridMultilevel"/>
    <w:tmpl w:val="10ACF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942"/>
    <w:multiLevelType w:val="hybridMultilevel"/>
    <w:tmpl w:val="0E7C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35"/>
    <w:rsid w:val="000B0CDD"/>
    <w:rsid w:val="0019629B"/>
    <w:rsid w:val="00205D68"/>
    <w:rsid w:val="00303835"/>
    <w:rsid w:val="00320D51"/>
    <w:rsid w:val="0047079F"/>
    <w:rsid w:val="004A6B0A"/>
    <w:rsid w:val="00554F3F"/>
    <w:rsid w:val="005E54B4"/>
    <w:rsid w:val="005E70D4"/>
    <w:rsid w:val="00612423"/>
    <w:rsid w:val="006A5409"/>
    <w:rsid w:val="006B1DA8"/>
    <w:rsid w:val="00866C70"/>
    <w:rsid w:val="00913E0F"/>
    <w:rsid w:val="009A2864"/>
    <w:rsid w:val="00BC2379"/>
    <w:rsid w:val="00BE6A83"/>
    <w:rsid w:val="00C22F1F"/>
    <w:rsid w:val="00D046E7"/>
    <w:rsid w:val="00D06942"/>
    <w:rsid w:val="00D16C6F"/>
    <w:rsid w:val="00E44F71"/>
    <w:rsid w:val="00E83E37"/>
    <w:rsid w:val="00F2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61E7"/>
  <w15:chartTrackingRefBased/>
  <w15:docId w15:val="{AEA61384-FCDF-477F-B054-7B54470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6C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6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19197-c4b6-4ab0-9a80-f1c0b641ca90">
      <Terms xmlns="http://schemas.microsoft.com/office/infopath/2007/PartnerControls"/>
    </lcf76f155ced4ddcb4097134ff3c332f>
    <ReadyforReview xmlns="cda19197-c4b6-4ab0-9a80-f1c0b641ca90">false</ReadyforReview>
    <TaxCatchAll xmlns="0bebff04-e375-45d1-8555-d3f83af60b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B93892504724188A690C708CB80D9" ma:contentTypeVersion="16" ma:contentTypeDescription="Create a new document." ma:contentTypeScope="" ma:versionID="36179d8b85266358dccac0467bdc2e75">
  <xsd:schema xmlns:xsd="http://www.w3.org/2001/XMLSchema" xmlns:xs="http://www.w3.org/2001/XMLSchema" xmlns:p="http://schemas.microsoft.com/office/2006/metadata/properties" xmlns:ns2="0bebff04-e375-45d1-8555-d3f83af60b60" xmlns:ns3="cda19197-c4b6-4ab0-9a80-f1c0b641ca90" targetNamespace="http://schemas.microsoft.com/office/2006/metadata/properties" ma:root="true" ma:fieldsID="8b8fafbeda6fe352fa8077c3da24d611" ns2:_="" ns3:_="">
    <xsd:import namespace="0bebff04-e375-45d1-8555-d3f83af60b60"/>
    <xsd:import namespace="cda19197-c4b6-4ab0-9a80-f1c0b641c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ReadyforReview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f04-e375-45d1-8555-d3f83af60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888436-daea-4a5e-92a4-82a9f09d2af1}" ma:internalName="TaxCatchAll" ma:showField="CatchAllData" ma:web="0bebff04-e375-45d1-8555-d3f83af60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9197-c4b6-4ab0-9a80-f1c0b641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eadyforReview" ma:index="17" nillable="true" ma:displayName="Ready for Review" ma:default="0" ma:format="Dropdown" ma:internalName="ReadyforReview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B2EFE-700C-4FB1-9B9A-97D10310330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cda19197-c4b6-4ab0-9a80-f1c0b641ca90"/>
    <ds:schemaRef ds:uri="0bebff04-e375-45d1-8555-d3f83af60b6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4C7CD8-D2B7-4589-8323-A13AADAE1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967F8-A6AD-4217-90AE-9C041528A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f04-e375-45d1-8555-d3f83af60b60"/>
    <ds:schemaRef ds:uri="cda19197-c4b6-4ab0-9a80-f1c0b641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901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Addendum C Schedule</vt:lpstr>
    </vt:vector>
  </TitlesOfParts>
  <Company>Dept. of Developmental Services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Addendum C Schedule</dc:title>
  <dc:subject/>
  <dc:creator>California Department of Developmental Services</dc:creator>
  <cp:keywords/>
  <dc:description/>
  <cp:lastModifiedBy>Robertson, Ellie@DDS</cp:lastModifiedBy>
  <cp:revision>3</cp:revision>
  <cp:lastPrinted>2019-09-03T17:13:00Z</cp:lastPrinted>
  <dcterms:created xsi:type="dcterms:W3CDTF">2022-12-26T23:27:00Z</dcterms:created>
  <dcterms:modified xsi:type="dcterms:W3CDTF">2023-01-03T19:20:00Z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0x010100ACFB93892504724188A690C708CB80D9</vt:lpwstr>
  </property>
</Properties>
</file>