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75C07BBC" w:rsidR="009C46CE" w:rsidRPr="002C57BC" w:rsidRDefault="00CD2D19" w:rsidP="00D72E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کود</w:t>
      </w:r>
      <w:r w:rsidR="009C46CE">
        <w:rPr>
          <w:rFonts w:ascii="Arial" w:hAnsi="Arial" w:hint="cs"/>
          <w:b/>
          <w:bCs/>
          <w:sz w:val="24"/>
          <w:szCs w:val="24"/>
          <w:rtl/>
        </w:rPr>
        <w:t>های اقامت</w:t>
      </w:r>
    </w:p>
    <w:p w14:paraId="43284267" w14:textId="77777777" w:rsidR="009C303E" w:rsidRDefault="009C303E" w:rsidP="00D72E0A">
      <w:pPr>
        <w:bidi/>
        <w:rPr>
          <w:rFonts w:ascii="Arial" w:hAnsi="Arial" w:cs="Arial"/>
          <w:sz w:val="24"/>
          <w:szCs w:val="24"/>
        </w:rPr>
      </w:pPr>
    </w:p>
    <w:p w14:paraId="579DC27F" w14:textId="6A253DE9" w:rsidR="6358C3DE" w:rsidRDefault="71D3C1FF" w:rsidP="00D72E0A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شناخت انواع و دامنه مکان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هایی که مردم در آن زندگی </w:t>
      </w:r>
      <w:r w:rsidR="00CD2D19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 xml:space="preserve">کنند به </w:t>
      </w:r>
      <w:r w:rsidR="005103B8">
        <w:rPr>
          <w:rFonts w:ascii="Arial" w:hAnsi="Arial" w:hint="cs"/>
          <w:sz w:val="24"/>
          <w:szCs w:val="24"/>
          <w:rtl/>
        </w:rPr>
        <w:t>انکشاف پروگرام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</w:t>
      </w:r>
      <w:r w:rsidR="005103B8">
        <w:rPr>
          <w:rFonts w:ascii="Arial" w:hAnsi="Arial" w:hint="cs"/>
          <w:sz w:val="24"/>
          <w:szCs w:val="24"/>
          <w:rtl/>
        </w:rPr>
        <w:t xml:space="preserve">شخص </w:t>
      </w:r>
      <w:r>
        <w:rPr>
          <w:rFonts w:ascii="Arial" w:hAnsi="Arial" w:hint="cs"/>
          <w:sz w:val="24"/>
          <w:szCs w:val="24"/>
          <w:rtl/>
        </w:rPr>
        <w:t>محور، متناسب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سازی خدمات با نیاز</w:t>
      </w:r>
      <w:r w:rsidR="005103B8">
        <w:rPr>
          <w:rFonts w:ascii="Arial" w:hAnsi="Arial" w:hint="cs"/>
          <w:sz w:val="24"/>
          <w:szCs w:val="24"/>
          <w:rtl/>
        </w:rPr>
        <w:t xml:space="preserve">مندی </w:t>
      </w:r>
      <w:r>
        <w:rPr>
          <w:rFonts w:ascii="Arial" w:hAnsi="Arial" w:hint="cs"/>
          <w:sz w:val="24"/>
          <w:szCs w:val="24"/>
          <w:rtl/>
        </w:rPr>
        <w:t xml:space="preserve">های </w:t>
      </w:r>
      <w:r w:rsidR="005103B8">
        <w:rPr>
          <w:rFonts w:ascii="Arial" w:hAnsi="Arial" w:hint="cs"/>
          <w:sz w:val="24"/>
          <w:szCs w:val="24"/>
          <w:rtl/>
        </w:rPr>
        <w:t>شخص</w:t>
      </w:r>
      <w:r>
        <w:rPr>
          <w:rFonts w:ascii="Arial" w:hAnsi="Arial" w:hint="cs"/>
          <w:sz w:val="24"/>
          <w:szCs w:val="24"/>
          <w:rtl/>
        </w:rPr>
        <w:t>ی، شناسایی سطح حمایت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موجود و ارائه شده، و حمایت از اقدامات واکنش </w:t>
      </w:r>
      <w:r w:rsidR="005103B8">
        <w:rPr>
          <w:rFonts w:ascii="Arial" w:hAnsi="Arial" w:hint="cs"/>
          <w:sz w:val="24"/>
          <w:szCs w:val="24"/>
          <w:rtl/>
        </w:rPr>
        <w:t>ایمرجنسی</w:t>
      </w:r>
      <w:r>
        <w:rPr>
          <w:rFonts w:ascii="Arial" w:hAnsi="Arial" w:hint="cs"/>
          <w:sz w:val="24"/>
          <w:szCs w:val="24"/>
          <w:rtl/>
        </w:rPr>
        <w:t xml:space="preserve"> کمک </w:t>
      </w:r>
      <w:r w:rsidR="00CD2D19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کند.</w:t>
      </w:r>
    </w:p>
    <w:p w14:paraId="007F0E85" w14:textId="1D1EB0ED" w:rsidR="009C303E" w:rsidRDefault="00312D5A" w:rsidP="00D72E0A">
      <w:pPr>
        <w:bidi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تغییرات احتمالی در زیر </w:t>
      </w:r>
      <w:r w:rsidR="005103B8">
        <w:rPr>
          <w:rFonts w:ascii="Arial" w:hAnsi="Arial" w:hint="cs"/>
          <w:sz w:val="24"/>
          <w:szCs w:val="24"/>
          <w:rtl/>
        </w:rPr>
        <w:t>قید شده</w:t>
      </w:r>
      <w:r>
        <w:rPr>
          <w:rFonts w:ascii="Arial" w:hAnsi="Arial" w:hint="cs"/>
          <w:sz w:val="24"/>
          <w:szCs w:val="24"/>
          <w:rtl/>
        </w:rPr>
        <w:t xml:space="preserve"> است.</w:t>
      </w:r>
      <w:r w:rsidR="00676DC3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شما </w:t>
      </w:r>
      <w:r w:rsidR="00CD2D19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 xml:space="preserve">توانید تغییرات احتمالی دیگری را پیشنهاد </w:t>
      </w:r>
      <w:r w:rsidR="005103B8">
        <w:rPr>
          <w:rFonts w:ascii="Arial" w:hAnsi="Arial" w:hint="cs"/>
          <w:sz w:val="24"/>
          <w:szCs w:val="24"/>
          <w:rtl/>
        </w:rPr>
        <w:t>کنید</w:t>
      </w:r>
      <w:r>
        <w:rPr>
          <w:rFonts w:ascii="Arial" w:hAnsi="Arial" w:hint="cs"/>
          <w:sz w:val="24"/>
          <w:szCs w:val="24"/>
          <w:rtl/>
        </w:rPr>
        <w:t>.</w:t>
      </w:r>
    </w:p>
    <w:p w14:paraId="7C2620EA" w14:textId="547C4803" w:rsidR="00AE56CF" w:rsidRPr="006012F5" w:rsidRDefault="00336F93" w:rsidP="00D72E0A">
      <w:pPr>
        <w:pStyle w:val="ListParagraph"/>
        <w:numPr>
          <w:ilvl w:val="1"/>
          <w:numId w:val="20"/>
        </w:numPr>
        <w:bidi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آیا باید برای همه م</w:t>
      </w:r>
      <w:r w:rsidR="005103B8">
        <w:rPr>
          <w:rFonts w:ascii="Arial" w:hAnsi="Arial" w:hint="cs"/>
          <w:sz w:val="24"/>
          <w:szCs w:val="24"/>
          <w:rtl/>
        </w:rPr>
        <w:t>و</w:t>
      </w:r>
      <w:r>
        <w:rPr>
          <w:rFonts w:ascii="Arial" w:hAnsi="Arial" w:hint="cs"/>
          <w:sz w:val="24"/>
          <w:szCs w:val="24"/>
          <w:rtl/>
        </w:rPr>
        <w:t>دل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مسکونی تأیید شده و/یا فعال </w:t>
      </w:r>
      <w:r w:rsidR="00CD2D19">
        <w:rPr>
          <w:rFonts w:ascii="Arial" w:hAnsi="Arial" w:hint="cs"/>
          <w:sz w:val="24"/>
          <w:szCs w:val="24"/>
          <w:rtl/>
        </w:rPr>
        <w:t>کود</w:t>
      </w:r>
      <w:r>
        <w:rPr>
          <w:rFonts w:ascii="Arial" w:hAnsi="Arial" w:hint="cs"/>
          <w:sz w:val="24"/>
          <w:szCs w:val="24"/>
          <w:rtl/>
        </w:rPr>
        <w:t xml:space="preserve"> اقامت وجود داشته باشد؟</w:t>
      </w:r>
    </w:p>
    <w:p w14:paraId="56132385" w14:textId="6F20C3DE" w:rsidR="009C46CE" w:rsidRDefault="00336F93" w:rsidP="00D72E0A">
      <w:pPr>
        <w:pStyle w:val="ListParagraph"/>
        <w:numPr>
          <w:ilvl w:val="1"/>
          <w:numId w:val="20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</w:t>
      </w:r>
      <w:r w:rsidR="00CD2D19">
        <w:rPr>
          <w:rFonts w:ascii="Arial" w:hAnsi="Arial" w:hint="cs"/>
          <w:sz w:val="24"/>
          <w:szCs w:val="24"/>
          <w:rtl/>
        </w:rPr>
        <w:t>معلومات</w:t>
      </w:r>
      <w:r>
        <w:rPr>
          <w:rFonts w:ascii="Arial" w:hAnsi="Arial" w:hint="cs"/>
          <w:sz w:val="24"/>
          <w:szCs w:val="24"/>
          <w:rtl/>
        </w:rPr>
        <w:t xml:space="preserve"> بیشتری </w:t>
      </w:r>
      <w:r w:rsidR="00CD2D19">
        <w:rPr>
          <w:rFonts w:ascii="Arial" w:hAnsi="Arial" w:hint="cs"/>
          <w:sz w:val="24"/>
          <w:szCs w:val="24"/>
          <w:rtl/>
        </w:rPr>
        <w:t>در حصۀ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CD2D19">
        <w:rPr>
          <w:rFonts w:ascii="Arial" w:hAnsi="Arial" w:hint="cs"/>
          <w:sz w:val="24"/>
          <w:szCs w:val="24"/>
          <w:rtl/>
        </w:rPr>
        <w:t>اشخاص</w:t>
      </w:r>
      <w:r>
        <w:rPr>
          <w:rFonts w:ascii="Arial" w:hAnsi="Arial" w:hint="cs"/>
          <w:sz w:val="24"/>
          <w:szCs w:val="24"/>
          <w:rtl/>
        </w:rPr>
        <w:t xml:space="preserve"> دچار چالش مسکن جمع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آوری شود؟</w:t>
      </w:r>
    </w:p>
    <w:p w14:paraId="52107DAA" w14:textId="1F16282E" w:rsidR="00970C57" w:rsidRPr="006012F5" w:rsidRDefault="00970C57" w:rsidP="00D72E0A">
      <w:pPr>
        <w:pStyle w:val="ListParagraph"/>
        <w:numPr>
          <w:ilvl w:val="1"/>
          <w:numId w:val="20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</w:t>
      </w:r>
      <w:r w:rsidR="005103B8">
        <w:rPr>
          <w:rFonts w:ascii="Arial" w:hAnsi="Arial" w:hint="cs"/>
          <w:sz w:val="24"/>
          <w:szCs w:val="24"/>
          <w:rtl/>
        </w:rPr>
        <w:t>سبسایدی</w:t>
      </w:r>
      <w:r>
        <w:rPr>
          <w:rFonts w:ascii="Arial" w:hAnsi="Arial" w:hint="cs"/>
          <w:sz w:val="24"/>
          <w:szCs w:val="24"/>
          <w:rtl/>
        </w:rPr>
        <w:t xml:space="preserve"> مسکن مانند کوپن مسکن و شهرسازی (</w:t>
      </w:r>
      <w:r>
        <w:rPr>
          <w:rFonts w:ascii="Arial" w:hAnsi="Arial"/>
          <w:sz w:val="24"/>
          <w:szCs w:val="24"/>
        </w:rPr>
        <w:t>HUD</w:t>
      </w:r>
      <w:r>
        <w:rPr>
          <w:rFonts w:ascii="Arial" w:hAnsi="Arial" w:hint="cs"/>
          <w:sz w:val="24"/>
          <w:szCs w:val="24"/>
          <w:rtl/>
        </w:rPr>
        <w:t xml:space="preserve">) </w:t>
      </w:r>
      <w:r w:rsidR="005103B8">
        <w:rPr>
          <w:rFonts w:ascii="Arial" w:hAnsi="Arial" w:hint="cs"/>
          <w:sz w:val="24"/>
          <w:szCs w:val="24"/>
          <w:rtl/>
        </w:rPr>
        <w:t>تعقیب</w:t>
      </w:r>
      <w:r>
        <w:rPr>
          <w:rFonts w:ascii="Arial" w:hAnsi="Arial" w:hint="cs"/>
          <w:sz w:val="24"/>
          <w:szCs w:val="24"/>
          <w:rtl/>
        </w:rPr>
        <w:t xml:space="preserve"> شود؟</w:t>
      </w:r>
    </w:p>
    <w:tbl>
      <w:tblPr>
        <w:bidiVisual/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4928"/>
        <w:gridCol w:w="4770"/>
      </w:tblGrid>
      <w:tr w:rsidR="009C46CE" w:rsidRPr="002C57BC" w14:paraId="34B6B12F" w14:textId="77777777" w:rsidTr="00CA68FE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9F73616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فعلی</w:t>
            </w:r>
          </w:p>
          <w:p w14:paraId="6BE28E41" w14:textId="09FAC044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کود</w:t>
            </w:r>
            <w:r w:rsidR="009C46CE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اقامت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6D785084" w14:textId="2188500F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محیط فعلی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31D7892F" w14:textId="3DAFA6E0" w:rsidR="009C46CE" w:rsidRPr="002C57BC" w:rsidRDefault="00312D5A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تغییر احتمالی</w:t>
            </w:r>
          </w:p>
        </w:tc>
      </w:tr>
      <w:tr w:rsidR="009C46CE" w:rsidRPr="002C57BC" w14:paraId="4D03C787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B81B22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F5D6FF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خارج از ایالت</w:t>
            </w:r>
          </w:p>
        </w:tc>
        <w:tc>
          <w:tcPr>
            <w:tcW w:w="4770" w:type="dxa"/>
          </w:tcPr>
          <w:p w14:paraId="5645C0D6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خارج از ایالت</w:t>
            </w:r>
          </w:p>
        </w:tc>
      </w:tr>
      <w:tr w:rsidR="009C46CE" w:rsidRPr="002C57BC" w14:paraId="57D622FA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50A7490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D268F15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خانه والدین/خانواده/سرپرست</w:t>
            </w:r>
          </w:p>
        </w:tc>
        <w:tc>
          <w:tcPr>
            <w:tcW w:w="4770" w:type="dxa"/>
            <w:shd w:val="clear" w:color="auto" w:fill="auto"/>
          </w:tcPr>
          <w:p w14:paraId="6B4BD924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خانه والدین/خانواده/سرپرست</w:t>
            </w:r>
          </w:p>
        </w:tc>
      </w:tr>
      <w:tr w:rsidR="009C46CE" w:rsidRPr="002C57BC" w14:paraId="274737B9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08B60C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3CD368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خانه خود شخص - مستقل</w:t>
            </w:r>
          </w:p>
        </w:tc>
        <w:tc>
          <w:tcPr>
            <w:tcW w:w="4770" w:type="dxa"/>
            <w:shd w:val="clear" w:color="auto" w:fill="auto"/>
          </w:tcPr>
          <w:p w14:paraId="52872FF2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خانه خود شخص - مستقل</w:t>
            </w:r>
          </w:p>
        </w:tc>
      </w:tr>
      <w:tr w:rsidR="009C46CE" w:rsidRPr="002C57BC" w14:paraId="4F24C066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23181C1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04BC93D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خانه خود شخص - همراه با پشتیبانی</w:t>
            </w:r>
          </w:p>
        </w:tc>
        <w:tc>
          <w:tcPr>
            <w:tcW w:w="4770" w:type="dxa"/>
            <w:shd w:val="clear" w:color="auto" w:fill="auto"/>
          </w:tcPr>
          <w:p w14:paraId="26741A61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خانه خود شخص - همراه با پشتیبانی</w:t>
            </w:r>
          </w:p>
        </w:tc>
      </w:tr>
      <w:tr w:rsidR="009C46CE" w:rsidRPr="002C57BC" w14:paraId="76391E2E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F5D5A1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51173C2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ناحیه سونوما</w:t>
            </w:r>
          </w:p>
        </w:tc>
        <w:tc>
          <w:tcPr>
            <w:tcW w:w="4770" w:type="dxa"/>
            <w:shd w:val="clear" w:color="auto" w:fill="auto"/>
          </w:tcPr>
          <w:p w14:paraId="29928D07" w14:textId="5B81FD93" w:rsidR="009C46CE" w:rsidRPr="002C57BC" w:rsidRDefault="007F076D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9C46CE" w:rsidRPr="002C57BC" w14:paraId="6056B995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47C659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490ECB8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ناحیه لنترمن</w:t>
            </w:r>
          </w:p>
        </w:tc>
        <w:tc>
          <w:tcPr>
            <w:tcW w:w="4770" w:type="dxa"/>
            <w:shd w:val="clear" w:color="auto" w:fill="auto"/>
          </w:tcPr>
          <w:p w14:paraId="06D62504" w14:textId="24E9D5EF" w:rsidR="009C46CE" w:rsidRPr="002C57BC" w:rsidRDefault="007F076D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9C46CE" w:rsidRPr="002C57BC" w14:paraId="31E23479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A1A6CA1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C66515" w14:textId="7C0EBFA1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ناحیه پورترویل 1370</w:t>
            </w:r>
          </w:p>
        </w:tc>
        <w:tc>
          <w:tcPr>
            <w:tcW w:w="4770" w:type="dxa"/>
            <w:shd w:val="clear" w:color="auto" w:fill="auto"/>
          </w:tcPr>
          <w:p w14:paraId="7020B58F" w14:textId="522802A2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مرکز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انکشاف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پورترویل، فقط استقرارهای قانون جزایی 1370</w:t>
            </w:r>
          </w:p>
        </w:tc>
      </w:tr>
      <w:tr w:rsidR="0042600F" w:rsidRPr="002C57BC" w14:paraId="39AAE8D2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033935A" w14:textId="0BCC622F" w:rsidR="0042600F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42600F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</w:tcPr>
          <w:p w14:paraId="65A8C420" w14:textId="67A2A7E4" w:rsidR="0042600F" w:rsidRPr="002C57BC" w:rsidRDefault="0042600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ناحیه پورترویل 6500</w:t>
            </w:r>
          </w:p>
        </w:tc>
        <w:tc>
          <w:tcPr>
            <w:tcW w:w="4770" w:type="dxa"/>
            <w:shd w:val="clear" w:color="auto" w:fill="auto"/>
          </w:tcPr>
          <w:p w14:paraId="1678F710" w14:textId="06511DF0" w:rsidR="0042600F" w:rsidRPr="002C57BC" w:rsidRDefault="0088779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مرکز </w:t>
            </w:r>
            <w:r w:rsidR="005103B8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انکشاف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پورترویل، استقرارهای قانون رفاه و مؤسسات 6500</w:t>
            </w:r>
          </w:p>
        </w:tc>
      </w:tr>
      <w:tr w:rsidR="009C46CE" w:rsidRPr="002C57BC" w14:paraId="5889DA24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E03D3CF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3E17B7A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ناحیه فیرویو</w:t>
            </w:r>
          </w:p>
        </w:tc>
        <w:tc>
          <w:tcPr>
            <w:tcW w:w="4770" w:type="dxa"/>
            <w:shd w:val="clear" w:color="auto" w:fill="auto"/>
          </w:tcPr>
          <w:p w14:paraId="7C4AB189" w14:textId="5114467F" w:rsidR="009C46CE" w:rsidRPr="002C57BC" w:rsidRDefault="007F076D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9C46CE" w:rsidRPr="002C57BC" w14:paraId="1A856972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B827D35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80A23D6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ناحیه اگنیوز</w:t>
            </w:r>
          </w:p>
        </w:tc>
        <w:tc>
          <w:tcPr>
            <w:tcW w:w="4770" w:type="dxa"/>
            <w:shd w:val="clear" w:color="auto" w:fill="auto"/>
          </w:tcPr>
          <w:p w14:paraId="580D8A74" w14:textId="359A553A" w:rsidR="009C46CE" w:rsidRPr="002C57BC" w:rsidRDefault="007F076D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9C46CE" w:rsidRPr="002C57BC" w14:paraId="2B06BD13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B2B0412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C47EF39" w14:textId="352C9F93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ناپا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SH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(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پروگرام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ناحیه) (دیگر ناحیه نیست)</w:t>
            </w:r>
          </w:p>
        </w:tc>
        <w:tc>
          <w:tcPr>
            <w:tcW w:w="4770" w:type="dxa"/>
            <w:shd w:val="clear" w:color="auto" w:fill="auto"/>
          </w:tcPr>
          <w:p w14:paraId="3EB11887" w14:textId="131CA178" w:rsidR="009C46CE" w:rsidRPr="002C57BC" w:rsidRDefault="007F076D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9C46CE" w:rsidRPr="002C57BC" w14:paraId="43FEFE59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C904710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602FD65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تحت مدیریت ایالت - کانیون اسپرینگز</w:t>
            </w:r>
          </w:p>
        </w:tc>
        <w:tc>
          <w:tcPr>
            <w:tcW w:w="4770" w:type="dxa"/>
            <w:shd w:val="clear" w:color="auto" w:fill="auto"/>
          </w:tcPr>
          <w:p w14:paraId="3BBFB13B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تحت مدیریت ایالت - کانیون اسپرینگز</w:t>
            </w:r>
          </w:p>
        </w:tc>
      </w:tr>
      <w:tr w:rsidR="009C46CE" w:rsidRPr="002C57BC" w14:paraId="3E30E74A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87074F9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D4449B9" w14:textId="2135FF3B" w:rsidR="009C46CE" w:rsidRPr="002C57BC" w:rsidRDefault="005103B8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شفاخانه</w:t>
            </w:r>
            <w:r w:rsidR="009C46CE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ایالتی</w:t>
            </w:r>
          </w:p>
        </w:tc>
        <w:tc>
          <w:tcPr>
            <w:tcW w:w="4770" w:type="dxa"/>
            <w:shd w:val="clear" w:color="auto" w:fill="auto"/>
          </w:tcPr>
          <w:p w14:paraId="3FCD332C" w14:textId="575207DE" w:rsidR="009C46CE" w:rsidRPr="002C57BC" w:rsidRDefault="005103B8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شفاخانه</w:t>
            </w:r>
            <w:r w:rsidR="009C46CE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ایالتی</w:t>
            </w:r>
          </w:p>
        </w:tc>
      </w:tr>
      <w:tr w:rsidR="009C46CE" w:rsidRPr="002C57BC" w14:paraId="574A5B7C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525E695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A0BE720" w14:textId="4E757421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نهاد اصلاحی (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محبس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45AEA059" w14:textId="739B52EC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نهاد اصلاحی (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محبس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6EA07F69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A48620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4BA70E8" w14:textId="34982BE4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اداره جوانان </w:t>
            </w:r>
            <w:r w:rsidR="00CD2D19">
              <w:rPr>
                <w:rFonts w:ascii="Arial" w:hAnsi="Arial" w:hint="cs"/>
                <w:color w:val="000000"/>
                <w:sz w:val="24"/>
                <w:szCs w:val="24"/>
                <w:rtl/>
              </w:rPr>
              <w:t>کالیفورنیا</w:t>
            </w:r>
          </w:p>
        </w:tc>
        <w:tc>
          <w:tcPr>
            <w:tcW w:w="4770" w:type="dxa"/>
            <w:shd w:val="clear" w:color="auto" w:fill="auto"/>
          </w:tcPr>
          <w:p w14:paraId="2F8A7B14" w14:textId="2B17AACF" w:rsidR="009C46CE" w:rsidRPr="002C57BC" w:rsidRDefault="00C8558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جوانان 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کالیفورنیا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و بازسازی جامعه</w:t>
            </w:r>
          </w:p>
        </w:tc>
      </w:tr>
      <w:tr w:rsidR="009C46CE" w:rsidRPr="002C57BC" w14:paraId="7CB186B7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E44D47C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1985DE8" w14:textId="0CC20246" w:rsidR="009C46CE" w:rsidRPr="002C57BC" w:rsidRDefault="005103B8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محبس</w:t>
            </w:r>
            <w:r w:rsidR="009C46CE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کاونتی</w:t>
            </w:r>
            <w:r w:rsidR="009C46CE">
              <w:rPr>
                <w:rFonts w:ascii="Arial" w:hAnsi="Arial" w:hint="cs"/>
                <w:color w:val="000000"/>
                <w:sz w:val="24"/>
                <w:szCs w:val="24"/>
                <w:rtl/>
              </w:rPr>
              <w:t>/شهر (کوتاه مدت)</w:t>
            </w:r>
          </w:p>
        </w:tc>
        <w:tc>
          <w:tcPr>
            <w:tcW w:w="4770" w:type="dxa"/>
            <w:shd w:val="clear" w:color="auto" w:fill="auto"/>
          </w:tcPr>
          <w:p w14:paraId="5D576459" w14:textId="0BDC6ABB" w:rsidR="009C46CE" w:rsidRPr="002C57BC" w:rsidRDefault="005103B8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محبس</w:t>
            </w:r>
            <w:r w:rsidR="009C46CE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کاونتی</w:t>
            </w:r>
            <w:r w:rsidR="009C46CE">
              <w:rPr>
                <w:rFonts w:ascii="Arial" w:hAnsi="Arial" w:hint="cs"/>
                <w:color w:val="000000"/>
                <w:sz w:val="24"/>
                <w:szCs w:val="24"/>
                <w:rtl/>
              </w:rPr>
              <w:t>/شهر (کوتاه مدت)</w:t>
            </w:r>
          </w:p>
        </w:tc>
      </w:tr>
      <w:tr w:rsidR="009C46CE" w:rsidRPr="002C57BC" w14:paraId="764B852A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18A1942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9F7DFB3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 (RCFE)</w:t>
            </w:r>
          </w:p>
        </w:tc>
        <w:tc>
          <w:tcPr>
            <w:tcW w:w="4770" w:type="dxa"/>
            <w:shd w:val="clear" w:color="auto" w:fill="auto"/>
          </w:tcPr>
          <w:p w14:paraId="654DD75A" w14:textId="091E0986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مرکز مراقبت اجتماعی (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CCF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) - مرکز مراقبت اقامتی برای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کهنسالان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(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RCFE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24D68939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40848F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82A35CC" w14:textId="16AAD62B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 (1-3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765E9066" w14:textId="5DC5B1B6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 (1-3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7D4942D1" w14:textId="77777777" w:rsidTr="00CA68FE">
        <w:trPr>
          <w:trHeight w:val="36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55B2666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4DCF6F7" w14:textId="11C2137B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 (4-6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4BFB2863" w14:textId="791E6F5A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 (4-6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4BF3B4E1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E95387E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DA5419E" w14:textId="40BE8261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 (7-15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07D33061" w14:textId="7C688F46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 (7-15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70C57" w:rsidRPr="002C57BC" w14:paraId="18305A54" w14:textId="77777777" w:rsidTr="00CA68FE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B661DD" w14:textId="77777777" w:rsidR="00970C57" w:rsidRPr="002C57BC" w:rsidRDefault="00970C57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فعلی</w:t>
            </w:r>
          </w:p>
          <w:p w14:paraId="68D54562" w14:textId="23F07AEF" w:rsidR="00970C57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کود</w:t>
            </w:r>
            <w:r w:rsidR="00970C57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اقامت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58D3A23B" w14:textId="77777777" w:rsidR="00970C57" w:rsidRPr="002C57BC" w:rsidRDefault="00970C57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محیط فعلی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511B1CE5" w14:textId="77777777" w:rsidR="00970C57" w:rsidRPr="002C57BC" w:rsidRDefault="00970C57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تغییر احتمالی</w:t>
            </w:r>
          </w:p>
        </w:tc>
      </w:tr>
      <w:tr w:rsidR="009C46CE" w:rsidRPr="002C57BC" w14:paraId="199DA453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6F0C0E" w14:textId="3FD2F7AE" w:rsidR="0091224F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22E59A4" w14:textId="7E403B88" w:rsidR="0091224F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 (16-49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0731B948" w14:textId="7A62F11B" w:rsidR="0091224F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 (16-49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6031A37A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B5BB39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66F5" w14:textId="67B4A70D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(بیش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از 50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67667209" w14:textId="11993398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(بیش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از 50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23F918AA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B5961D9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F0BBC90" w14:textId="3FC89BF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نیاز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مندی 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های مراقبت </w:t>
            </w:r>
            <w:r w:rsidR="00CD2D19">
              <w:rPr>
                <w:rFonts w:ascii="Arial" w:hAnsi="Arial" w:hint="cs"/>
                <w:color w:val="000000"/>
                <w:sz w:val="24"/>
                <w:szCs w:val="24"/>
                <w:rtl/>
              </w:rPr>
              <w:t>صحی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خاص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/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اطفال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(خانه بیتس)</w:t>
            </w:r>
          </w:p>
        </w:tc>
        <w:tc>
          <w:tcPr>
            <w:tcW w:w="4770" w:type="dxa"/>
            <w:shd w:val="clear" w:color="auto" w:fill="auto"/>
          </w:tcPr>
          <w:p w14:paraId="604DCE88" w14:textId="46902C8E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CCF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نیازهای مراقبت </w:t>
            </w:r>
            <w:r w:rsidR="00CD2D19">
              <w:rPr>
                <w:rFonts w:ascii="Arial" w:hAnsi="Arial" w:hint="cs"/>
                <w:color w:val="000000"/>
                <w:sz w:val="24"/>
                <w:szCs w:val="24"/>
                <w:rtl/>
              </w:rPr>
              <w:t>صحی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خاص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/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اطفال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(خانه بیتس)</w:t>
            </w:r>
          </w:p>
        </w:tc>
      </w:tr>
      <w:tr w:rsidR="009C46CE" w:rsidRPr="002C57BC" w14:paraId="742F05A9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63402C2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lastRenderedPageBreak/>
              <w:t>52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5A8D84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ICF</w:t>
            </w:r>
          </w:p>
        </w:tc>
        <w:tc>
          <w:tcPr>
            <w:tcW w:w="4770" w:type="dxa"/>
            <w:shd w:val="clear" w:color="auto" w:fill="auto"/>
          </w:tcPr>
          <w:p w14:paraId="10F3CDE8" w14:textId="5BB62FDB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مرکز مراقبت واسطه (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ICF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2E560CEC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F91011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FEA36C3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ICF/DD</w:t>
            </w:r>
          </w:p>
        </w:tc>
        <w:tc>
          <w:tcPr>
            <w:tcW w:w="4770" w:type="dxa"/>
            <w:shd w:val="clear" w:color="auto" w:fill="auto"/>
          </w:tcPr>
          <w:p w14:paraId="6743C7D4" w14:textId="4FB8B043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ICF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برای </w:t>
            </w:r>
            <w:r w:rsidR="00CD2D19">
              <w:rPr>
                <w:rFonts w:ascii="Arial" w:hAnsi="Arial" w:hint="cs"/>
                <w:color w:val="000000"/>
                <w:sz w:val="24"/>
                <w:szCs w:val="24"/>
                <w:rtl/>
              </w:rPr>
              <w:t>اشخاص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دچار نانوانی رشدی (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DD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5479102E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63A8BB5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F0E6DA6" w14:textId="3775348A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ICF/DD-N (4-6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679183C5" w14:textId="4D140079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ICF/DD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-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نرسنگ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(4-6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6B5AB889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36E98F7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4EF16EC" w14:textId="2A87A6BA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ICF/DD-N (7-15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634F1162" w14:textId="07D0D05B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ICF/DD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-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نرسنگ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(7-15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798F1A36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2665B1B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BC1CDAE" w14:textId="5D437736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ICF/DD-H (4-6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54FC993A" w14:textId="625B7342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ICF/DD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-اسکان (4-6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227115AA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1ED8926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0B33047" w14:textId="5D1A2704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ICF/DD-H (7-15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454FD37C" w14:textId="73880511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ICF/DD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-اسکان (7-15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بستر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2072FBEB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758D786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51156E" w14:textId="5BB747E2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SNF/NF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نرسنگ</w:t>
            </w:r>
          </w:p>
        </w:tc>
        <w:tc>
          <w:tcPr>
            <w:tcW w:w="4770" w:type="dxa"/>
            <w:shd w:val="clear" w:color="auto" w:fill="auto"/>
          </w:tcPr>
          <w:p w14:paraId="7FB0106C" w14:textId="260EB5D4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مرکز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نرسنگ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مسلکی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(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SNF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) - مرکز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نرسنگ</w:t>
            </w:r>
          </w:p>
        </w:tc>
      </w:tr>
      <w:tr w:rsidR="009C46CE" w:rsidRPr="002C57BC" w14:paraId="517B1E88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637236F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C575AF3" w14:textId="1CCC49AF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SNF/NF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روانشناسی</w:t>
            </w:r>
          </w:p>
        </w:tc>
        <w:tc>
          <w:tcPr>
            <w:tcW w:w="4770" w:type="dxa"/>
            <w:shd w:val="clear" w:color="auto" w:fill="auto"/>
          </w:tcPr>
          <w:p w14:paraId="7E48FF67" w14:textId="605ACD81" w:rsidR="009C46CE" w:rsidRPr="002C57BC" w:rsidRDefault="00BB7AC0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مرکز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نرسنگ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مسلکی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(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SNF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) - مرکز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نرسنگ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روان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شناسی کلینیکی</w:t>
            </w:r>
          </w:p>
        </w:tc>
      </w:tr>
      <w:tr w:rsidR="009C46CE" w:rsidRPr="002C57BC" w14:paraId="5A309F53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B4F3B04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981312" w14:textId="05032C0A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خانه سرپرستی (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اطفال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مورد تأیید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کاونتی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یا ایالت)</w:t>
            </w:r>
          </w:p>
        </w:tc>
        <w:tc>
          <w:tcPr>
            <w:tcW w:w="4770" w:type="dxa"/>
            <w:shd w:val="clear" w:color="auto" w:fill="auto"/>
          </w:tcPr>
          <w:p w14:paraId="4A2074E0" w14:textId="28153C34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خانه سرپرستی (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اطفال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مورد تأیید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کاونتی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یا ایالت)</w:t>
            </w:r>
          </w:p>
        </w:tc>
      </w:tr>
      <w:tr w:rsidR="009C46CE" w:rsidRPr="002C57BC" w14:paraId="070D3BF0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5D06DA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888E" w14:textId="76D78209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منزل خانوادگی (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کلان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سالان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سازمان منزل خانوادگی)</w:t>
            </w:r>
          </w:p>
        </w:tc>
        <w:tc>
          <w:tcPr>
            <w:tcW w:w="4770" w:type="dxa"/>
            <w:shd w:val="clear" w:color="auto" w:fill="auto"/>
          </w:tcPr>
          <w:p w14:paraId="6C6F5B44" w14:textId="25E488ED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منزل خانوادگی (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کلان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سالان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سازمان منزل خانوادگی)</w:t>
            </w:r>
          </w:p>
        </w:tc>
      </w:tr>
      <w:tr w:rsidR="009C46CE" w:rsidRPr="002C57BC" w14:paraId="0F27DCF5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1C11FF6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F3D592" w14:textId="6B2990EA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منزل سرپرستی تأیید شده (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اطفال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سازمان منزل سرپرستی)</w:t>
            </w:r>
          </w:p>
        </w:tc>
        <w:tc>
          <w:tcPr>
            <w:tcW w:w="4770" w:type="dxa"/>
            <w:shd w:val="clear" w:color="auto" w:fill="auto"/>
          </w:tcPr>
          <w:p w14:paraId="0D54F42B" w14:textId="5F6AF8BA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منزل سرپرستی تأیید شده (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اطفال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سازمان منزل سرپرستی)</w:t>
            </w:r>
          </w:p>
        </w:tc>
      </w:tr>
      <w:tr w:rsidR="009C46CE" w:rsidRPr="002C57BC" w14:paraId="65D77BE4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754537C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9138387" w14:textId="337AA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مرکز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تداوی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روانشناسی</w:t>
            </w:r>
          </w:p>
        </w:tc>
        <w:tc>
          <w:tcPr>
            <w:tcW w:w="4770" w:type="dxa"/>
            <w:shd w:val="clear" w:color="auto" w:fill="auto"/>
          </w:tcPr>
          <w:p w14:paraId="0CA9B6D3" w14:textId="157F2DF0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مرکز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تداوی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روانشناسی</w:t>
            </w:r>
          </w:p>
        </w:tc>
      </w:tr>
      <w:tr w:rsidR="009C46CE" w:rsidRPr="002C57BC" w14:paraId="30983593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B8BF5C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891E49E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مرکز توانبخشی</w:t>
            </w:r>
          </w:p>
        </w:tc>
        <w:tc>
          <w:tcPr>
            <w:tcW w:w="4770" w:type="dxa"/>
            <w:shd w:val="clear" w:color="auto" w:fill="auto"/>
          </w:tcPr>
          <w:p w14:paraId="1FFC6415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مرکز توانبخشی</w:t>
            </w:r>
          </w:p>
        </w:tc>
      </w:tr>
      <w:tr w:rsidR="009C46CE" w:rsidRPr="002C57BC" w14:paraId="2C960F70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4C07DE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1D6A3B8" w14:textId="3D345E82" w:rsidR="009C46CE" w:rsidRPr="002C57BC" w:rsidRDefault="005103B8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شفاخانه</w:t>
            </w:r>
            <w:r w:rsidR="009C46CE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عمومی حاد</w:t>
            </w:r>
          </w:p>
        </w:tc>
        <w:tc>
          <w:tcPr>
            <w:tcW w:w="4770" w:type="dxa"/>
            <w:shd w:val="clear" w:color="auto" w:fill="auto"/>
          </w:tcPr>
          <w:p w14:paraId="12539C0B" w14:textId="1DF295B3" w:rsidR="009C46CE" w:rsidRPr="002C57BC" w:rsidRDefault="005103B8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شفاخانه</w:t>
            </w:r>
            <w:r w:rsidR="009C46CE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عمومی حاد</w:t>
            </w:r>
          </w:p>
        </w:tc>
      </w:tr>
      <w:tr w:rsidR="009C46CE" w:rsidRPr="002C57BC" w14:paraId="18325990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3DB136E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853156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غیرحاد</w:t>
            </w:r>
          </w:p>
        </w:tc>
        <w:tc>
          <w:tcPr>
            <w:tcW w:w="4770" w:type="dxa"/>
            <w:shd w:val="clear" w:color="auto" w:fill="auto"/>
          </w:tcPr>
          <w:p w14:paraId="4EC289EE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غیرحاد</w:t>
            </w:r>
          </w:p>
        </w:tc>
      </w:tr>
      <w:tr w:rsidR="009C46CE" w:rsidRPr="002C57BC" w14:paraId="4356B0A2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EA2A494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090B59B" w14:textId="72E23EC0" w:rsidR="009C46CE" w:rsidRPr="002C57BC" w:rsidRDefault="005103B8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اطفال</w:t>
            </w:r>
            <w:r w:rsidR="009C46CE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غیرحاد</w:t>
            </w:r>
          </w:p>
        </w:tc>
        <w:tc>
          <w:tcPr>
            <w:tcW w:w="4770" w:type="dxa"/>
            <w:shd w:val="clear" w:color="auto" w:fill="auto"/>
          </w:tcPr>
          <w:p w14:paraId="6A93CE1A" w14:textId="282A56CE" w:rsidR="009C46CE" w:rsidRPr="002C57BC" w:rsidRDefault="005103B8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اطفال</w:t>
            </w:r>
            <w:r w:rsidR="009C46CE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غیرحاد</w:t>
            </w:r>
          </w:p>
        </w:tc>
      </w:tr>
      <w:tr w:rsidR="009C46CE" w:rsidRPr="002C57BC" w14:paraId="090D5FB9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FC313FC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E2A249" w14:textId="1DEBF024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مرکز </w:t>
            </w:r>
            <w:r w:rsidR="005103B8">
              <w:rPr>
                <w:rFonts w:ascii="Arial" w:hAnsi="Arial" w:hint="cs"/>
                <w:color w:val="000000"/>
                <w:sz w:val="24"/>
                <w:szCs w:val="24"/>
                <w:rtl/>
              </w:rPr>
              <w:t>تداوی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اجتماعی</w:t>
            </w:r>
          </w:p>
        </w:tc>
        <w:tc>
          <w:tcPr>
            <w:tcW w:w="4770" w:type="dxa"/>
            <w:shd w:val="clear" w:color="auto" w:fill="auto"/>
          </w:tcPr>
          <w:p w14:paraId="7678882F" w14:textId="78F84535" w:rsidR="009C46CE" w:rsidRPr="002C57BC" w:rsidRDefault="00AB4FEC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این 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کود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فقط مخصوص استار ویو و ویستا دل مار است.</w:t>
            </w:r>
          </w:p>
        </w:tc>
      </w:tr>
      <w:tr w:rsidR="009C46CE" w:rsidRPr="002C57BC" w14:paraId="66AE09C2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11DFE5E" w14:textId="13FDF68C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B444E6" w14:textId="7CB16E43" w:rsidR="009C46CE" w:rsidRPr="002C57BC" w:rsidRDefault="005103B8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نرسنگ</w:t>
            </w:r>
            <w:r w:rsidR="009C46CE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دوامدار</w:t>
            </w:r>
          </w:p>
        </w:tc>
        <w:tc>
          <w:tcPr>
            <w:tcW w:w="4770" w:type="dxa"/>
            <w:shd w:val="clear" w:color="auto" w:fill="auto"/>
          </w:tcPr>
          <w:p w14:paraId="5CC402D8" w14:textId="080AB799" w:rsidR="009C46CE" w:rsidRPr="002C57BC" w:rsidRDefault="003665B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ICF/DD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- </w:t>
            </w:r>
            <w:r w:rsidR="005103B8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نرسنگ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103B8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دوامدار</w:t>
            </w:r>
          </w:p>
        </w:tc>
      </w:tr>
      <w:tr w:rsidR="009C46CE" w:rsidRPr="002C57BC" w14:paraId="64DC3CB0" w14:textId="77777777" w:rsidTr="00CA68FE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DB949E4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5497AF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مراقبت تسکینی</w:t>
            </w:r>
          </w:p>
        </w:tc>
        <w:tc>
          <w:tcPr>
            <w:tcW w:w="4770" w:type="dxa"/>
            <w:shd w:val="clear" w:color="auto" w:fill="auto"/>
          </w:tcPr>
          <w:p w14:paraId="304BBE9C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مراقبت تسکینی</w:t>
            </w:r>
          </w:p>
        </w:tc>
      </w:tr>
      <w:tr w:rsidR="009C46CE" w:rsidRPr="002C57BC" w14:paraId="5DF48691" w14:textId="77777777" w:rsidTr="00CA68FE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01119DB" w14:textId="5E2A3346" w:rsidR="00DA1B79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B19D24E" w14:textId="7FA0FD81" w:rsidR="0091224F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موقت/بی</w:t>
            </w:r>
            <w:r w:rsidR="00CD2D19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خانمان</w:t>
            </w:r>
          </w:p>
        </w:tc>
        <w:tc>
          <w:tcPr>
            <w:tcW w:w="4770" w:type="dxa"/>
            <w:shd w:val="clear" w:color="auto" w:fill="auto"/>
          </w:tcPr>
          <w:p w14:paraId="1A6E92EA" w14:textId="701BF37F" w:rsid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(فقط) بی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خانمان</w:t>
            </w:r>
          </w:p>
          <w:p w14:paraId="2CDAD041" w14:textId="7E369149" w:rsidR="0091576E" w:rsidRDefault="00797DF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از تعریف وزارت مسکن و </w:t>
            </w:r>
            <w:r w:rsidR="005103B8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انکشاف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شهری فدرال (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HUD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) استفاده شود: "زندگی کردن در مکان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هایی که برای سکونت انسان در نظر گرفته نشده است، سرپناه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ها، مسکن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های انتقالی و خروج از مؤسسه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ای که اقامت در آنجا به مدت بیش</w:t>
            </w:r>
            <w:r w:rsidR="005103B8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تر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از 90 روز </w:t>
            </w:r>
            <w:r w:rsidR="005103B8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انجام شده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است؛ از دست دادن محل اقامت اصلی ظرف 14 روز بدون داشتن منابع برای تهیه مسکن؛ خانواده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های دارای فرزند که در مسکن بی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ثبات زندگی 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می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کنند؛ 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اشخاص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ی که از خشونت خانگی فرار 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می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کنند".</w:t>
            </w:r>
          </w:p>
          <w:p w14:paraId="08A5DBF9" w14:textId="4366C170" w:rsidR="0091224F" w:rsidRPr="002C57BC" w:rsidRDefault="0091576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(غیر "موقت" = بی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ثباتی مسکن)</w:t>
            </w:r>
          </w:p>
        </w:tc>
      </w:tr>
      <w:tr w:rsidR="009D3C97" w:rsidRPr="002C57BC" w14:paraId="43498D39" w14:textId="77777777" w:rsidTr="00CA68FE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FC306FF" w14:textId="77777777" w:rsidR="009D3C97" w:rsidRPr="002C57BC" w:rsidRDefault="009D3C97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فعلی</w:t>
            </w:r>
          </w:p>
          <w:p w14:paraId="37F02F0B" w14:textId="4E761337" w:rsidR="009D3C97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کود</w:t>
            </w:r>
            <w:r w:rsidR="009D3C97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اقامت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14497AA3" w14:textId="77777777" w:rsidR="009D3C97" w:rsidRPr="002C57BC" w:rsidRDefault="009D3C97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محیط فعلی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1B6D184A" w14:textId="4A74982E" w:rsidR="009D3C97" w:rsidRPr="002C57BC" w:rsidRDefault="00312D5A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تغییر احتمالی</w:t>
            </w:r>
          </w:p>
        </w:tc>
      </w:tr>
      <w:tr w:rsidR="009C46CE" w:rsidRPr="002C57BC" w14:paraId="33D39CF0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DB61D7" w14:textId="77777777" w:rsidR="009C46CE" w:rsidRPr="002C57BC" w:rsidRDefault="009C46CE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63451D91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D8C20CF" w14:textId="77777777" w:rsidR="009C46CE" w:rsidRPr="002C57BC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سایر</w:t>
            </w:r>
          </w:p>
        </w:tc>
      </w:tr>
      <w:tr w:rsidR="009C46CE" w:rsidRPr="002C57BC" w14:paraId="39A4587F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83860DA" w14:textId="08C49B67" w:rsidR="00FD1966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05E877D8" w14:textId="76E0467E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424A5B7B" w14:textId="3CA19DC5" w:rsidR="009C46CE" w:rsidRPr="00797DFE" w:rsidRDefault="00CD2D19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اشخاص</w:t>
            </w:r>
            <w:r w:rsidR="00797DF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ی که به تنهایی بدون خانواده یا خدمات زندگی مستقل / خدمات زندگی مورد پشتیبانی زندگی کرده و اجاره یا وام مسکن را پرداخت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می</w:t>
            </w:r>
            <w:r w:rsidR="00797DF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کنند.</w:t>
            </w:r>
          </w:p>
        </w:tc>
      </w:tr>
      <w:tr w:rsidR="009C46CE" w:rsidRPr="002C57BC" w14:paraId="68A75CB5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0E3DFAB" w14:textId="4EB915F1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710893A9" w14:textId="543A03D8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7115B400" w14:textId="3E31E12F" w:rsidR="009C46C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مؤسسات </w:t>
            </w:r>
            <w:r w:rsidR="007572FF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مریضی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های روانی (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IMD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574BF832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79C7D91" w14:textId="5F9B8369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498A2082" w14:textId="63DB7865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530DE661" w14:textId="1D8B33AB" w:rsidR="009C46C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مرکز اقامتی 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کلان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سالان برای اشخاص دارای نیاز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مندی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صحی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خاص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ARFPSHN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75831814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7D71A7" w14:textId="5557999C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1F7DE531" w14:textId="1596B4CF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3BCE5441" w14:textId="09C8BC9D" w:rsidR="009C46C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خانه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های پشتیبانی رفتاری پیشرفته (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EBSH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1CE9F2B0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13FA8A2" w14:textId="2B76B3B7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lastRenderedPageBreak/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423521F2" w14:textId="7C9247DB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0B642B9E" w14:textId="7EAEB15A" w:rsidR="009C46C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خانه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های بحران اجتماعی (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CCH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3EBD43A1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6101CCF" w14:textId="3DA40C12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432E06FE" w14:textId="0F3EE966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57CF174A" w14:textId="7C0CF2D9" w:rsidR="009C46C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خانه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STAR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(که 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تحت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عنوان خانه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های بحران حاد نیز شناخته 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می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شوند)</w:t>
            </w:r>
          </w:p>
        </w:tc>
      </w:tr>
      <w:tr w:rsidR="009C46CE" w:rsidRPr="002C57BC" w14:paraId="621E93D3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DD857D8" w14:textId="363B1703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6FAEE9EF" w14:textId="5E5701FB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24516864" w14:textId="05E46732" w:rsidR="009C46C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صحت روانی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PHF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5D22A3E1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A19FB24" w14:textId="46486026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61C466B9" w14:textId="08B7A93B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46A5AE75" w14:textId="7F92D755" w:rsidR="009C46C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مرکز امن </w:t>
            </w:r>
            <w:r w:rsidR="005103B8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تداوی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جوانان (که 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تحت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عنوان "مسیر امن" نیز شناخته 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می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شود)</w:t>
            </w:r>
          </w:p>
        </w:tc>
      </w:tr>
      <w:tr w:rsidR="009C46CE" w:rsidRPr="002C57BC" w14:paraId="089FA55F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4F5E5BA" w14:textId="704B5E32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387AD521" w14:textId="2E742CEB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5B4F348B" w14:textId="1A4746F1" w:rsidR="009C46C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خانه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های گروهی برای </w:t>
            </w:r>
            <w:r w:rsidR="005103B8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اطفال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دارای نیاز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مندی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های مراقبت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صحی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خاص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GHCSHN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77D3F080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F97DE10" w14:textId="6BF6515C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302F00A1" w14:textId="2C654917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1637DADC" w14:textId="3B795A9A" w:rsidR="009C46C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5103B8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تداوی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اقامتی </w:t>
            </w:r>
            <w:r w:rsidR="005103B8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روانشناسی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PRTF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2A9D09F5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BE62C0" w14:textId="7AEB49AA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5ADF2A27" w14:textId="702FB0D3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3E61022B" w14:textId="5D8C47EB" w:rsidR="009C46C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مراقبت سرپرستی با خدمات 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خاص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ISFC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1F2AB82D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593C9C7" w14:textId="5C139D14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71B0C5F6" w14:textId="2F757024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25A75313" w14:textId="52D41885" w:rsidR="009C46C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صحی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زندگی جمعی (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CLHF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9C46CE" w:rsidRPr="002C57BC" w14:paraId="1D329F82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4E859A2" w14:textId="32CB1DD2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20C37A0A" w14:textId="2B4B91AB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4C499687" w14:textId="3E5718C5" w:rsidR="00797DFE" w:rsidRPr="00797DFE" w:rsidRDefault="009C46C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مسکن بی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ثبات (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بشمول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موقت)</w:t>
            </w:r>
          </w:p>
          <w:p w14:paraId="062D917A" w14:textId="02F04411" w:rsidR="009C46CE" w:rsidRPr="00797DFE" w:rsidRDefault="00797DFE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(غیربی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خانمان = 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کود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90)</w:t>
            </w:r>
          </w:p>
        </w:tc>
      </w:tr>
      <w:tr w:rsidR="009C46CE" w:rsidRPr="002C57BC" w14:paraId="4231DF7D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3A1DFBD1" w14:textId="20059DCB" w:rsidR="009C46CE" w:rsidRPr="002C57BC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2B52669B" w14:textId="226460FE" w:rsidR="009C46CE" w:rsidRPr="002C57BC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39E3F70C" w14:textId="69959D59" w:rsidR="0091576E" w:rsidRPr="008B4F0F" w:rsidRDefault="008660F9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هوتل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/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موتل</w:t>
            </w:r>
          </w:p>
          <w:p w14:paraId="13370E72" w14:textId="2BC25F16" w:rsidR="009C46CE" w:rsidRPr="008B4F0F" w:rsidRDefault="008B4F0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اشخاص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ی که در 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هوتل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یا م</w:t>
            </w:r>
            <w:r w:rsidR="008660F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و</w:t>
            </w: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تل اقامت دارند)</w:t>
            </w:r>
          </w:p>
        </w:tc>
      </w:tr>
      <w:tr w:rsidR="009C46CE" w:rsidRPr="008B4F0F" w14:paraId="1F3FBDCB" w14:textId="77777777" w:rsidTr="00CA68FE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0E57A178" w14:textId="4E62B097" w:rsidR="009C46CE" w:rsidRPr="008B4F0F" w:rsidRDefault="00CD2D19" w:rsidP="00D72E0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کود</w:t>
            </w:r>
            <w:r w:rsidR="00FD1966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 جدید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52DA3104" w14:textId="46211609" w:rsidR="009C46CE" w:rsidRPr="008B4F0F" w:rsidRDefault="007572FF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بدون انتخاب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فعلی</w:t>
            </w:r>
          </w:p>
        </w:tc>
        <w:tc>
          <w:tcPr>
            <w:tcW w:w="4770" w:type="dxa"/>
          </w:tcPr>
          <w:p w14:paraId="179737AE" w14:textId="603C87B7" w:rsidR="009C46CE" w:rsidRPr="008B4F0F" w:rsidRDefault="008660F9" w:rsidP="00D72E0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پروگرام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5103B8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تداوی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اقامتی کوتاه</w:t>
            </w:r>
            <w:r w:rsidR="00CD2D19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مدت (</w:t>
            </w:r>
            <w:r w:rsidR="009C46CE">
              <w:rPr>
                <w:rFonts w:ascii="Arial" w:hAnsi="Arial"/>
                <w:color w:val="000000" w:themeColor="text1"/>
                <w:sz w:val="24"/>
                <w:szCs w:val="24"/>
              </w:rPr>
              <w:t>STRTP</w:t>
            </w:r>
            <w:r w:rsidR="009C46CE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</w:tbl>
    <w:p w14:paraId="3B829CAA" w14:textId="77777777" w:rsidR="008B4F0F" w:rsidRPr="008B4F0F" w:rsidRDefault="008B4F0F" w:rsidP="00D72E0A">
      <w:pPr>
        <w:bidi/>
        <w:rPr>
          <w:rFonts w:ascii="Arial" w:hAnsi="Arial" w:cs="Arial"/>
          <w:sz w:val="24"/>
          <w:szCs w:val="24"/>
        </w:rPr>
      </w:pPr>
    </w:p>
    <w:p w14:paraId="547B3AFE" w14:textId="07A48CF8" w:rsidR="009C46CE" w:rsidRPr="008B4F0F" w:rsidRDefault="00AE1524" w:rsidP="00D72E0A">
      <w:pPr>
        <w:bidi/>
        <w:ind w:left="-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سایر تغییرات احتمالی مربوط به محیط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های مسکونی:</w:t>
      </w:r>
    </w:p>
    <w:p w14:paraId="16930987" w14:textId="41180DE5" w:rsidR="009C46CE" w:rsidRPr="008165B0" w:rsidRDefault="009C46CE" w:rsidP="00D72E0A">
      <w:pPr>
        <w:bidi/>
        <w:spacing w:after="0"/>
        <w:ind w:left="-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تأخیر در خروج/محیط امن (</w:t>
      </w:r>
      <w:r>
        <w:rPr>
          <w:rFonts w:ascii="Arial" w:hAnsi="Arial"/>
          <w:b/>
          <w:bCs/>
          <w:sz w:val="24"/>
          <w:szCs w:val="24"/>
        </w:rPr>
        <w:t>DE/SP</w:t>
      </w:r>
      <w:r>
        <w:rPr>
          <w:rFonts w:ascii="Arial" w:hAnsi="Arial" w:hint="cs"/>
          <w:b/>
          <w:bCs/>
          <w:sz w:val="24"/>
          <w:szCs w:val="24"/>
          <w:rtl/>
        </w:rPr>
        <w:t>)</w:t>
      </w:r>
      <w:r>
        <w:rPr>
          <w:rFonts w:ascii="Arial" w:hAnsi="Arial" w:hint="cs"/>
          <w:sz w:val="24"/>
          <w:szCs w:val="24"/>
          <w:rtl/>
        </w:rPr>
        <w:t>:</w:t>
      </w:r>
      <w:r w:rsidR="00676DC3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</w:rPr>
        <w:t>DE/SP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8660F9">
        <w:rPr>
          <w:rFonts w:ascii="Arial" w:hAnsi="Arial" w:hint="cs"/>
          <w:sz w:val="24"/>
          <w:szCs w:val="24"/>
          <w:rtl/>
        </w:rPr>
        <w:t>خصوصیاتی</w:t>
      </w:r>
      <w:r>
        <w:rPr>
          <w:rFonts w:ascii="Arial" w:hAnsi="Arial" w:hint="cs"/>
          <w:sz w:val="24"/>
          <w:szCs w:val="24"/>
          <w:rtl/>
        </w:rPr>
        <w:t xml:space="preserve"> هستند که جهت به تأخیر انداختن دسترسی برای مدتی کوتاه در شرایط غیرا</w:t>
      </w:r>
      <w:r w:rsidR="008660F9">
        <w:rPr>
          <w:rFonts w:ascii="Arial" w:hAnsi="Arial" w:hint="cs"/>
          <w:sz w:val="24"/>
          <w:szCs w:val="24"/>
          <w:rtl/>
        </w:rPr>
        <w:t>یمرجنسی</w:t>
      </w:r>
      <w:r>
        <w:rPr>
          <w:rFonts w:ascii="Arial" w:hAnsi="Arial" w:hint="cs"/>
          <w:sz w:val="24"/>
          <w:szCs w:val="24"/>
          <w:rtl/>
        </w:rPr>
        <w:t xml:space="preserve"> یا جلوگیری از دسترسی یا نفوذ غیرمجاز طراحی شده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اند.</w:t>
      </w:r>
      <w:r w:rsidR="00676DC3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این </w:t>
      </w:r>
      <w:r w:rsidR="008660F9">
        <w:rPr>
          <w:rFonts w:ascii="Arial" w:hAnsi="Arial" w:hint="cs"/>
          <w:sz w:val="24"/>
          <w:szCs w:val="24"/>
          <w:rtl/>
        </w:rPr>
        <w:t xml:space="preserve">خصوصیات </w:t>
      </w:r>
      <w:r>
        <w:rPr>
          <w:rFonts w:ascii="Arial" w:hAnsi="Arial" w:hint="cs"/>
          <w:sz w:val="24"/>
          <w:szCs w:val="24"/>
          <w:rtl/>
        </w:rPr>
        <w:t xml:space="preserve">را </w:t>
      </w:r>
      <w:r w:rsidR="00CD2D19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توان در انواع مختلف مکان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های مسکونی مشاهده کرد.</w:t>
      </w:r>
      <w:r w:rsidR="00676DC3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آیا </w:t>
      </w:r>
      <w:r w:rsidR="00CD2D19">
        <w:rPr>
          <w:rFonts w:ascii="Arial" w:hAnsi="Arial" w:hint="cs"/>
          <w:sz w:val="24"/>
          <w:szCs w:val="24"/>
          <w:rtl/>
        </w:rPr>
        <w:t>کالیفورنیا</w:t>
      </w:r>
      <w:r>
        <w:rPr>
          <w:rFonts w:ascii="Arial" w:hAnsi="Arial" w:hint="cs"/>
          <w:sz w:val="24"/>
          <w:szCs w:val="24"/>
          <w:rtl/>
        </w:rPr>
        <w:t xml:space="preserve"> باید </w:t>
      </w:r>
      <w:r w:rsidR="008660F9">
        <w:rPr>
          <w:rFonts w:ascii="Arial" w:hAnsi="Arial" w:hint="cs"/>
          <w:sz w:val="24"/>
          <w:szCs w:val="24"/>
          <w:rtl/>
        </w:rPr>
        <w:t>یک کدر</w:t>
      </w:r>
      <w:r>
        <w:rPr>
          <w:rFonts w:ascii="Arial" w:hAnsi="Arial" w:hint="cs"/>
          <w:sz w:val="24"/>
          <w:szCs w:val="24"/>
          <w:rtl/>
        </w:rPr>
        <w:t xml:space="preserve"> را برای گزارش دادن محیط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مسکونی دارای </w:t>
      </w:r>
      <w:r w:rsidR="008660F9">
        <w:rPr>
          <w:rFonts w:ascii="Arial" w:hAnsi="Arial" w:hint="cs"/>
          <w:sz w:val="24"/>
          <w:szCs w:val="24"/>
          <w:rtl/>
        </w:rPr>
        <w:t>خصوصیت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</w:rPr>
        <w:t>DE/SP</w:t>
      </w:r>
      <w:r>
        <w:rPr>
          <w:rFonts w:ascii="Arial" w:hAnsi="Arial" w:hint="cs"/>
          <w:sz w:val="24"/>
          <w:szCs w:val="24"/>
          <w:rtl/>
        </w:rPr>
        <w:t xml:space="preserve"> ایجاد کند؟</w:t>
      </w:r>
    </w:p>
    <w:p w14:paraId="3105918A" w14:textId="44F73AD2" w:rsidR="3289C0D7" w:rsidRPr="005E1935" w:rsidRDefault="3289C0D7" w:rsidP="00D72E0A">
      <w:pPr>
        <w:bidi/>
        <w:spacing w:after="0"/>
        <w:ind w:left="-720"/>
        <w:rPr>
          <w:rFonts w:ascii="Arial" w:hAnsi="Arial" w:cs="Arial"/>
          <w:sz w:val="24"/>
          <w:szCs w:val="24"/>
        </w:rPr>
      </w:pPr>
    </w:p>
    <w:p w14:paraId="69ABB513" w14:textId="51221594" w:rsidR="00B378FE" w:rsidRDefault="76CA5866" w:rsidP="00D72E0A">
      <w:pPr>
        <w:bidi/>
        <w:spacing w:after="0"/>
        <w:ind w:left="-720"/>
        <w:rPr>
          <w:rFonts w:ascii="Arial" w:hAnsi="Arial" w:cs="Arial"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محیط</w:t>
      </w:r>
      <w:r w:rsidR="00CD2D19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های مسکونی با هفت </w:t>
      </w:r>
      <w:r w:rsidR="008660F9">
        <w:rPr>
          <w:rFonts w:ascii="Arial" w:hAnsi="Arial" w:hint="cs"/>
          <w:b/>
          <w:bCs/>
          <w:sz w:val="24"/>
          <w:szCs w:val="24"/>
          <w:rtl/>
        </w:rPr>
        <w:t>بستر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یا بیشتر:</w:t>
      </w:r>
      <w:r w:rsidR="00676DC3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چندین نوع اقامتگاه دارای هفت </w:t>
      </w:r>
      <w:r w:rsidR="008660F9">
        <w:rPr>
          <w:rFonts w:ascii="Arial" w:hAnsi="Arial" w:hint="cs"/>
          <w:sz w:val="24"/>
          <w:szCs w:val="24"/>
          <w:rtl/>
        </w:rPr>
        <w:t>بستر</w:t>
      </w:r>
      <w:r>
        <w:rPr>
          <w:rFonts w:ascii="Arial" w:hAnsi="Arial" w:hint="cs"/>
          <w:sz w:val="24"/>
          <w:szCs w:val="24"/>
          <w:rtl/>
        </w:rPr>
        <w:t xml:space="preserve"> یا بیشتر هستند.</w:t>
      </w:r>
      <w:r w:rsidR="00676DC3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آیا </w:t>
      </w:r>
      <w:r w:rsidR="00CD2D19">
        <w:rPr>
          <w:rFonts w:ascii="Arial" w:hAnsi="Arial" w:hint="cs"/>
          <w:sz w:val="24"/>
          <w:szCs w:val="24"/>
          <w:rtl/>
        </w:rPr>
        <w:t>کالیفورنیا</w:t>
      </w:r>
      <w:r>
        <w:rPr>
          <w:rFonts w:ascii="Arial" w:hAnsi="Arial" w:hint="cs"/>
          <w:sz w:val="24"/>
          <w:szCs w:val="24"/>
          <w:rtl/>
        </w:rPr>
        <w:t xml:space="preserve"> باید </w:t>
      </w:r>
      <w:r w:rsidR="008660F9">
        <w:rPr>
          <w:rFonts w:ascii="Arial" w:hAnsi="Arial" w:hint="cs"/>
          <w:sz w:val="24"/>
          <w:szCs w:val="24"/>
          <w:rtl/>
        </w:rPr>
        <w:t xml:space="preserve">یک </w:t>
      </w:r>
      <w:r>
        <w:rPr>
          <w:rFonts w:ascii="Arial" w:hAnsi="Arial" w:hint="cs"/>
          <w:sz w:val="24"/>
          <w:szCs w:val="24"/>
          <w:rtl/>
        </w:rPr>
        <w:t>کدری را برای گزارش دادن این محیط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های مسکونی بزرگتر ایجاد کند؟</w:t>
      </w:r>
    </w:p>
    <w:p w14:paraId="72EA2D81" w14:textId="77777777" w:rsidR="3289C0D7" w:rsidRDefault="3289C0D7" w:rsidP="00D72E0A">
      <w:pPr>
        <w:bidi/>
        <w:spacing w:after="0"/>
        <w:ind w:left="-720"/>
        <w:rPr>
          <w:rFonts w:ascii="Arial" w:hAnsi="Arial" w:cs="Arial"/>
          <w:sz w:val="24"/>
          <w:szCs w:val="24"/>
          <w:u w:val="single"/>
        </w:rPr>
      </w:pPr>
    </w:p>
    <w:p w14:paraId="4BA04F8A" w14:textId="06FC9D02" w:rsidR="00731AAA" w:rsidRDefault="009C46CE" w:rsidP="00D72E0A">
      <w:pPr>
        <w:bidi/>
        <w:spacing w:after="0"/>
        <w:ind w:left="-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"خانه گروهی":</w:t>
      </w:r>
      <w:r w:rsidR="00676DC3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اصطلاح "خانه گروهی" </w:t>
      </w:r>
      <w:r w:rsidR="008660F9">
        <w:rPr>
          <w:rFonts w:ascii="Arial" w:hAnsi="Arial" w:hint="cs"/>
          <w:sz w:val="24"/>
          <w:szCs w:val="24"/>
          <w:rtl/>
        </w:rPr>
        <w:t>مخصوص</w:t>
      </w:r>
      <w:r>
        <w:rPr>
          <w:rFonts w:ascii="Arial" w:hAnsi="Arial" w:hint="cs"/>
          <w:sz w:val="24"/>
          <w:szCs w:val="24"/>
          <w:rtl/>
        </w:rPr>
        <w:t xml:space="preserve"> خانه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</w:t>
      </w:r>
      <w:r w:rsidR="005103B8">
        <w:rPr>
          <w:rFonts w:ascii="Arial" w:hAnsi="Arial" w:hint="cs"/>
          <w:sz w:val="24"/>
          <w:szCs w:val="24"/>
          <w:rtl/>
        </w:rPr>
        <w:t>اطفال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8660F9">
        <w:rPr>
          <w:rFonts w:ascii="Arial" w:hAnsi="Arial" w:hint="cs"/>
          <w:sz w:val="24"/>
          <w:szCs w:val="24"/>
          <w:rtl/>
        </w:rPr>
        <w:t>خوردتر از</w:t>
      </w:r>
      <w:r>
        <w:rPr>
          <w:rFonts w:ascii="Arial" w:hAnsi="Arial" w:hint="cs"/>
          <w:sz w:val="24"/>
          <w:szCs w:val="24"/>
          <w:rtl/>
        </w:rPr>
        <w:t xml:space="preserve"> 18 سال است.</w:t>
      </w:r>
      <w:r w:rsidR="00676DC3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آیا باید:</w:t>
      </w:r>
    </w:p>
    <w:p w14:paraId="574EF77D" w14:textId="7D6C91C8" w:rsidR="00731AAA" w:rsidRDefault="009C46CE" w:rsidP="00D72E0A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1)</w:t>
      </w:r>
      <w:r w:rsidR="00676DC3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"خانه گروهی" فقط برای خانه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هایی با </w:t>
      </w:r>
      <w:r w:rsidR="005103B8">
        <w:rPr>
          <w:rFonts w:ascii="Arial" w:hAnsi="Arial" w:hint="cs"/>
          <w:sz w:val="24"/>
          <w:szCs w:val="24"/>
          <w:rtl/>
        </w:rPr>
        <w:t>اطفال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8660F9">
        <w:rPr>
          <w:rFonts w:ascii="Arial" w:hAnsi="Arial" w:hint="cs"/>
          <w:sz w:val="24"/>
          <w:szCs w:val="24"/>
          <w:rtl/>
        </w:rPr>
        <w:t>خوردتر از</w:t>
      </w:r>
      <w:r>
        <w:rPr>
          <w:rFonts w:ascii="Arial" w:hAnsi="Arial" w:hint="cs"/>
          <w:sz w:val="24"/>
          <w:szCs w:val="24"/>
          <w:rtl/>
        </w:rPr>
        <w:t xml:space="preserve"> 18 سال مورد استفاده قرار گیرد؟</w:t>
      </w:r>
    </w:p>
    <w:p w14:paraId="77606A64" w14:textId="52E3EB07" w:rsidR="00105583" w:rsidRDefault="009C46CE" w:rsidP="00D72E0A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2) از کلمه "</w:t>
      </w:r>
      <w:r w:rsidR="005103B8">
        <w:rPr>
          <w:rFonts w:ascii="Arial" w:hAnsi="Arial" w:hint="cs"/>
          <w:sz w:val="24"/>
          <w:szCs w:val="24"/>
          <w:rtl/>
        </w:rPr>
        <w:t>اطفال</w:t>
      </w:r>
      <w:r>
        <w:rPr>
          <w:rFonts w:ascii="Arial" w:hAnsi="Arial" w:hint="cs"/>
          <w:sz w:val="24"/>
          <w:szCs w:val="24"/>
          <w:rtl/>
        </w:rPr>
        <w:t xml:space="preserve">" به </w:t>
      </w:r>
      <w:r w:rsidR="008660F9">
        <w:rPr>
          <w:rFonts w:ascii="Arial" w:hAnsi="Arial" w:hint="cs"/>
          <w:sz w:val="24"/>
          <w:szCs w:val="24"/>
          <w:rtl/>
        </w:rPr>
        <w:t>عوض</w:t>
      </w:r>
      <w:r>
        <w:rPr>
          <w:rFonts w:ascii="Arial" w:hAnsi="Arial" w:hint="cs"/>
          <w:sz w:val="24"/>
          <w:szCs w:val="24"/>
          <w:rtl/>
        </w:rPr>
        <w:t xml:space="preserve"> "گروه" استفاده شود، و/یا</w:t>
      </w:r>
    </w:p>
    <w:p w14:paraId="593CF312" w14:textId="0CBC4CA7" w:rsidR="009C46CE" w:rsidRDefault="009C46CE" w:rsidP="00D72E0A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3) کدری ایجاد شود که این محیط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 را مشخص سازد؟</w:t>
      </w:r>
    </w:p>
    <w:p w14:paraId="72FC013B" w14:textId="77777777" w:rsidR="00565607" w:rsidRPr="005E1935" w:rsidRDefault="00565607" w:rsidP="00D72E0A">
      <w:pPr>
        <w:bidi/>
        <w:spacing w:after="0"/>
        <w:ind w:left="-720"/>
        <w:rPr>
          <w:rFonts w:ascii="Arial" w:hAnsi="Arial" w:cs="Arial"/>
          <w:sz w:val="24"/>
          <w:szCs w:val="24"/>
        </w:rPr>
      </w:pPr>
    </w:p>
    <w:p w14:paraId="20F66C7F" w14:textId="3A20F69F" w:rsidR="009C46CE" w:rsidRPr="002C57BC" w:rsidRDefault="009C46CE" w:rsidP="00D72E0A">
      <w:pPr>
        <w:bidi/>
        <w:spacing w:after="0"/>
        <w:ind w:left="-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سطح مراقبت:</w:t>
      </w:r>
      <w:r w:rsidR="00676DC3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مراکز مراقبت اجتماعی و مراکز اقامت تخصصی در سطوح مختلف پشتیبانی سازماندهی شده</w:t>
      </w:r>
      <w:r w:rsidR="00CD2D1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اند که در حال حاضر با سطوح 1 </w:t>
      </w:r>
      <w:r w:rsidR="008660F9">
        <w:rPr>
          <w:rFonts w:ascii="Arial" w:hAnsi="Arial" w:hint="cs"/>
          <w:sz w:val="24"/>
          <w:szCs w:val="24"/>
          <w:rtl/>
        </w:rPr>
        <w:t>الی</w:t>
      </w:r>
      <w:r>
        <w:rPr>
          <w:rFonts w:ascii="Arial" w:hAnsi="Arial" w:hint="cs"/>
          <w:sz w:val="24"/>
          <w:szCs w:val="24"/>
          <w:rtl/>
        </w:rPr>
        <w:t xml:space="preserve"> 3 و سپس </w:t>
      </w:r>
      <w:r>
        <w:rPr>
          <w:rFonts w:ascii="Arial" w:hAnsi="Arial"/>
          <w:sz w:val="24"/>
          <w:szCs w:val="24"/>
        </w:rPr>
        <w:t>4a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8660F9">
        <w:rPr>
          <w:rFonts w:ascii="Arial" w:hAnsi="Arial" w:hint="cs"/>
          <w:sz w:val="24"/>
          <w:szCs w:val="24"/>
          <w:rtl/>
        </w:rPr>
        <w:t>الی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</w:rPr>
        <w:t>4i</w:t>
      </w:r>
      <w:r>
        <w:rPr>
          <w:rFonts w:ascii="Arial" w:hAnsi="Arial" w:hint="cs"/>
          <w:sz w:val="24"/>
          <w:szCs w:val="24"/>
          <w:rtl/>
        </w:rPr>
        <w:t xml:space="preserve"> شرح داده </w:t>
      </w:r>
      <w:r w:rsidR="00CD2D19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شوند.</w:t>
      </w:r>
      <w:r w:rsidR="00676DC3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آیا </w:t>
      </w:r>
      <w:r w:rsidR="00CD2D19">
        <w:rPr>
          <w:rFonts w:ascii="Arial" w:hAnsi="Arial" w:hint="cs"/>
          <w:sz w:val="24"/>
          <w:szCs w:val="24"/>
          <w:rtl/>
        </w:rPr>
        <w:t>کالیفورنیا</w:t>
      </w:r>
      <w:r>
        <w:rPr>
          <w:rFonts w:ascii="Arial" w:hAnsi="Arial" w:hint="cs"/>
          <w:sz w:val="24"/>
          <w:szCs w:val="24"/>
          <w:rtl/>
        </w:rPr>
        <w:t xml:space="preserve"> باید علاوه بر نوع مرکز و تعداد </w:t>
      </w:r>
      <w:r w:rsidR="008660F9">
        <w:rPr>
          <w:rFonts w:ascii="Arial" w:hAnsi="Arial" w:hint="cs"/>
          <w:sz w:val="24"/>
          <w:szCs w:val="24"/>
          <w:rtl/>
        </w:rPr>
        <w:t>بستر</w:t>
      </w:r>
      <w:r>
        <w:rPr>
          <w:rFonts w:ascii="Arial" w:hAnsi="Arial" w:hint="cs"/>
          <w:sz w:val="24"/>
          <w:szCs w:val="24"/>
          <w:rtl/>
        </w:rPr>
        <w:t>، کدری را برای ردیابی سطح پشتیبانی ایجاد کند؟</w:t>
      </w: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8F1F" w14:textId="77777777" w:rsidR="00554643" w:rsidRDefault="00554643" w:rsidP="00D06A4D">
      <w:pPr>
        <w:spacing w:after="0" w:line="240" w:lineRule="auto"/>
      </w:pPr>
      <w:r>
        <w:separator/>
      </w:r>
    </w:p>
  </w:endnote>
  <w:endnote w:type="continuationSeparator" w:id="0">
    <w:p w14:paraId="79C79A55" w14:textId="77777777" w:rsidR="00554643" w:rsidRDefault="00554643" w:rsidP="00D06A4D">
      <w:pPr>
        <w:spacing w:after="0" w:line="240" w:lineRule="auto"/>
      </w:pPr>
      <w:r>
        <w:continuationSeparator/>
      </w:r>
    </w:p>
  </w:endnote>
  <w:endnote w:type="continuationNotice" w:id="1">
    <w:p w14:paraId="2582AE92" w14:textId="77777777" w:rsidR="00554643" w:rsidRDefault="00554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9C46CE">
    <w:pPr>
      <w:pStyle w:val="Footer"/>
      <w:bidi/>
      <w:jc w:val="right"/>
      <w:rPr>
        <w:rtl/>
      </w:rPr>
    </w:pPr>
    <w:r>
      <w:fldChar w:fldCharType="begin"/>
    </w:r>
    <w:r>
      <w:rPr>
        <w:rtl/>
      </w:rPr>
      <w:instrText xml:space="preserve"> </w:instrText>
    </w:r>
    <w:r>
      <w:instrText>PAGE</w:instrText>
    </w:r>
    <w:r>
      <w:fldChar w:fldCharType="separate"/>
    </w:r>
    <w:r>
      <w:rPr>
        <w:rFonts w:hint="cs"/>
        <w:rtl/>
      </w:rP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7150" w14:textId="77777777" w:rsidR="00554643" w:rsidRDefault="00554643" w:rsidP="00D06A4D">
      <w:pPr>
        <w:spacing w:after="0" w:line="240" w:lineRule="auto"/>
      </w:pPr>
      <w:r>
        <w:separator/>
      </w:r>
    </w:p>
  </w:footnote>
  <w:footnote w:type="continuationSeparator" w:id="0">
    <w:p w14:paraId="777E726E" w14:textId="77777777" w:rsidR="00554643" w:rsidRDefault="00554643" w:rsidP="00D06A4D">
      <w:pPr>
        <w:spacing w:after="0" w:line="240" w:lineRule="auto"/>
      </w:pPr>
      <w:r>
        <w:continuationSeparator/>
      </w:r>
    </w:p>
  </w:footnote>
  <w:footnote w:type="continuationNotice" w:id="1">
    <w:p w14:paraId="0C36094E" w14:textId="77777777" w:rsidR="00554643" w:rsidRDefault="005546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A5CFE30" w:rsidR="00571364" w:rsidRPr="00F20FD8" w:rsidRDefault="00A05569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پیش</w:t>
    </w:r>
    <w:r w:rsidR="00676DC3">
      <w:rPr>
        <w:rFonts w:hint="cs"/>
        <w:b/>
        <w:bCs/>
        <w:color w:val="FF0000"/>
        <w:rtl/>
      </w:rPr>
      <w:t xml:space="preserve"> </w:t>
    </w:r>
    <w:r>
      <w:rPr>
        <w:rFonts w:hint="cs"/>
        <w:b/>
        <w:bCs/>
        <w:color w:val="FF0000"/>
        <w:rtl/>
      </w:rPr>
      <w:t>نویس اظهار نظر عمومی</w:t>
    </w:r>
  </w:p>
  <w:p w14:paraId="58AE78B9" w14:textId="79A1B3E5" w:rsidR="00F20FD8" w:rsidRDefault="00953897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فوریه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D187C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FEC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2A5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264B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C866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069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54FC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06DF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2F9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E2BC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D58D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8688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E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090CC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956255">
    <w:abstractNumId w:val="18"/>
  </w:num>
  <w:num w:numId="2" w16cid:durableId="1369602707">
    <w:abstractNumId w:val="5"/>
  </w:num>
  <w:num w:numId="3" w16cid:durableId="382867983">
    <w:abstractNumId w:val="0"/>
  </w:num>
  <w:num w:numId="4" w16cid:durableId="1063718316">
    <w:abstractNumId w:val="3"/>
  </w:num>
  <w:num w:numId="5" w16cid:durableId="867523855">
    <w:abstractNumId w:val="13"/>
  </w:num>
  <w:num w:numId="6" w16cid:durableId="280233665">
    <w:abstractNumId w:val="12"/>
  </w:num>
  <w:num w:numId="7" w16cid:durableId="367148771">
    <w:abstractNumId w:val="21"/>
  </w:num>
  <w:num w:numId="8" w16cid:durableId="878518792">
    <w:abstractNumId w:val="9"/>
  </w:num>
  <w:num w:numId="9" w16cid:durableId="1861778312">
    <w:abstractNumId w:val="20"/>
  </w:num>
  <w:num w:numId="10" w16cid:durableId="1154683334">
    <w:abstractNumId w:val="10"/>
  </w:num>
  <w:num w:numId="11" w16cid:durableId="303198340">
    <w:abstractNumId w:val="6"/>
  </w:num>
  <w:num w:numId="12" w16cid:durableId="18049495">
    <w:abstractNumId w:val="14"/>
  </w:num>
  <w:num w:numId="13" w16cid:durableId="1397045358">
    <w:abstractNumId w:val="15"/>
  </w:num>
  <w:num w:numId="14" w16cid:durableId="1055813627">
    <w:abstractNumId w:val="7"/>
  </w:num>
  <w:num w:numId="15" w16cid:durableId="547034335">
    <w:abstractNumId w:val="8"/>
  </w:num>
  <w:num w:numId="16" w16cid:durableId="441458265">
    <w:abstractNumId w:val="2"/>
  </w:num>
  <w:num w:numId="17" w16cid:durableId="393167354">
    <w:abstractNumId w:val="4"/>
  </w:num>
  <w:num w:numId="18" w16cid:durableId="1011420874">
    <w:abstractNumId w:val="19"/>
  </w:num>
  <w:num w:numId="19" w16cid:durableId="541677829">
    <w:abstractNumId w:val="1"/>
  </w:num>
  <w:num w:numId="20" w16cid:durableId="2126075206">
    <w:abstractNumId w:val="11"/>
  </w:num>
  <w:num w:numId="21" w16cid:durableId="776102157">
    <w:abstractNumId w:val="17"/>
  </w:num>
  <w:num w:numId="22" w16cid:durableId="7935982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03B8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54643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6DC3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2FF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0F9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D5C1E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1F55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A68FE"/>
    <w:rsid w:val="00CB1F26"/>
    <w:rsid w:val="00CB7DF8"/>
    <w:rsid w:val="00CC3405"/>
    <w:rsid w:val="00CC3896"/>
    <w:rsid w:val="00CC638A"/>
    <w:rsid w:val="00CC7723"/>
    <w:rsid w:val="00CD2D19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26D64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2E0A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72D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5569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mailto:dtf@dds.ca.gov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cp:keywords/>
  <dc:description/>
  <cp:lastModifiedBy>User</cp:lastModifiedBy>
  <cp:revision>10</cp:revision>
  <dcterms:created xsi:type="dcterms:W3CDTF">2024-02-14T22:06:00Z</dcterms:created>
  <dcterms:modified xsi:type="dcterms:W3CDTF">2024-02-28T16:10:00Z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